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83D88A" w14:textId="0811A0B5" w:rsidR="00C07039" w:rsidRPr="006453D9" w:rsidRDefault="006D7CB4" w:rsidP="00C07039">
      <w:pPr>
        <w:pStyle w:val="MDPI11articletype"/>
      </w:pPr>
      <w:bookmarkStart w:id="0" w:name="_Hlk136437739"/>
      <w:bookmarkEnd w:id="0"/>
      <w:r>
        <w:t>Supplemental Material</w:t>
      </w:r>
    </w:p>
    <w:p w14:paraId="2009AF41" w14:textId="1DED4664" w:rsidR="00062DEF" w:rsidRPr="00062DEF" w:rsidRDefault="00062DEF" w:rsidP="00E8233D">
      <w:pPr>
        <w:spacing w:after="240" w:line="240" w:lineRule="atLeast"/>
        <w:rPr>
          <w:rFonts w:eastAsia="Times New Roman"/>
          <w:b/>
          <w:bCs/>
          <w:noProof w:val="0"/>
          <w:color w:val="201F1E"/>
          <w:sz w:val="36"/>
          <w:szCs w:val="36"/>
          <w:shd w:val="clear" w:color="auto" w:fill="FFFFFF"/>
          <w:lang w:eastAsia="en-US"/>
        </w:rPr>
      </w:pPr>
      <w:r w:rsidRPr="00062DEF">
        <w:rPr>
          <w:rFonts w:eastAsia="Times New Roman"/>
          <w:b/>
          <w:bCs/>
          <w:noProof w:val="0"/>
          <w:color w:val="201F1E"/>
          <w:sz w:val="36"/>
          <w:szCs w:val="36"/>
          <w:shd w:val="clear" w:color="auto" w:fill="FFFFFF"/>
          <w:lang w:eastAsia="en-US"/>
        </w:rPr>
        <w:t xml:space="preserve">Biological Functions of </w:t>
      </w:r>
      <w:r w:rsidRPr="00062DEF">
        <w:rPr>
          <w:rFonts w:eastAsia="Times New Roman"/>
          <w:b/>
          <w:bCs/>
          <w:i/>
          <w:iCs/>
          <w:noProof w:val="0"/>
          <w:color w:val="201F1E"/>
          <w:sz w:val="36"/>
          <w:szCs w:val="36"/>
          <w:shd w:val="clear" w:color="auto" w:fill="FFFFFF"/>
          <w:lang w:eastAsia="en-US"/>
        </w:rPr>
        <w:t xml:space="preserve">Azospirillum brasilense </w:t>
      </w:r>
      <w:r w:rsidRPr="00062DEF">
        <w:rPr>
          <w:rFonts w:eastAsia="Times New Roman"/>
          <w:b/>
          <w:bCs/>
          <w:noProof w:val="0"/>
          <w:color w:val="201F1E"/>
          <w:sz w:val="36"/>
          <w:szCs w:val="36"/>
          <w:shd w:val="clear" w:color="auto" w:fill="FFFFFF"/>
          <w:lang w:eastAsia="en-US"/>
        </w:rPr>
        <w:t xml:space="preserve">that </w:t>
      </w:r>
      <w:r w:rsidR="004B47AC">
        <w:rPr>
          <w:rFonts w:eastAsia="Times New Roman"/>
          <w:b/>
          <w:bCs/>
          <w:noProof w:val="0"/>
          <w:color w:val="201F1E"/>
          <w:sz w:val="36"/>
          <w:szCs w:val="36"/>
          <w:shd w:val="clear" w:color="auto" w:fill="FFFFFF"/>
          <w:lang w:eastAsia="en-US"/>
        </w:rPr>
        <w:t xml:space="preserve">can </w:t>
      </w:r>
      <w:r w:rsidRPr="00062DEF">
        <w:rPr>
          <w:rFonts w:eastAsia="Times New Roman"/>
          <w:b/>
          <w:bCs/>
          <w:noProof w:val="0"/>
          <w:color w:val="201F1E"/>
          <w:sz w:val="36"/>
          <w:szCs w:val="36"/>
          <w:shd w:val="clear" w:color="auto" w:fill="FFFFFF"/>
          <w:lang w:eastAsia="en-US"/>
        </w:rPr>
        <w:t xml:space="preserve">Benefit Host </w:t>
      </w:r>
      <w:r>
        <w:rPr>
          <w:rFonts w:eastAsia="Times New Roman"/>
          <w:b/>
          <w:bCs/>
          <w:noProof w:val="0"/>
          <w:color w:val="201F1E"/>
          <w:sz w:val="36"/>
          <w:szCs w:val="36"/>
          <w:shd w:val="clear" w:color="auto" w:fill="FFFFFF"/>
          <w:lang w:eastAsia="en-US"/>
        </w:rPr>
        <w:t>Growth are</w:t>
      </w:r>
      <w:r w:rsidRPr="00062DEF">
        <w:rPr>
          <w:rFonts w:eastAsia="Times New Roman"/>
          <w:b/>
          <w:bCs/>
          <w:noProof w:val="0"/>
          <w:color w:val="201F1E"/>
          <w:sz w:val="36"/>
          <w:szCs w:val="36"/>
          <w:shd w:val="clear" w:color="auto" w:fill="FFFFFF"/>
          <w:lang w:eastAsia="en-US"/>
        </w:rPr>
        <w:t xml:space="preserve"> Responsive to Light Stimuli.</w:t>
      </w:r>
    </w:p>
    <w:p w14:paraId="2CFC6A60" w14:textId="16D4C2A9" w:rsidR="00062DEF" w:rsidRPr="00062DEF" w:rsidRDefault="00062DEF" w:rsidP="0065405E">
      <w:pPr>
        <w:adjustRightInd w:val="0"/>
        <w:snapToGrid w:val="0"/>
        <w:jc w:val="left"/>
        <w:rPr>
          <w:rFonts w:eastAsia="Times New Roman"/>
          <w:b/>
          <w:noProof w:val="0"/>
          <w:vertAlign w:val="superscript"/>
          <w:lang w:eastAsia="de-DE" w:bidi="en-US"/>
        </w:rPr>
      </w:pPr>
      <w:r w:rsidRPr="00062DEF">
        <w:rPr>
          <w:rFonts w:eastAsia="Times New Roman"/>
          <w:b/>
          <w:noProof w:val="0"/>
          <w:lang w:eastAsia="de-DE" w:bidi="en-US"/>
        </w:rPr>
        <w:t>Alexandra Bauer Housh</w:t>
      </w:r>
      <w:r w:rsidRPr="00062DEF">
        <w:rPr>
          <w:rFonts w:eastAsia="Times New Roman"/>
          <w:b/>
          <w:noProof w:val="0"/>
          <w:vertAlign w:val="superscript"/>
          <w:lang w:eastAsia="de-DE" w:bidi="en-US"/>
        </w:rPr>
        <w:t>1,2 3</w:t>
      </w:r>
      <w:r w:rsidRPr="00062DEF">
        <w:rPr>
          <w:rFonts w:eastAsia="Times New Roman"/>
          <w:b/>
          <w:noProof w:val="0"/>
          <w:lang w:eastAsia="de-DE" w:bidi="en-US"/>
        </w:rPr>
        <w:t>, Randi Noel</w:t>
      </w:r>
      <w:r w:rsidRPr="00062DEF">
        <w:rPr>
          <w:rFonts w:eastAsia="Times New Roman"/>
          <w:b/>
          <w:noProof w:val="0"/>
          <w:vertAlign w:val="superscript"/>
          <w:lang w:eastAsia="de-DE" w:bidi="en-US"/>
        </w:rPr>
        <w:t>1,3,4</w:t>
      </w:r>
      <w:r w:rsidRPr="00062DEF">
        <w:rPr>
          <w:rFonts w:eastAsia="Times New Roman"/>
          <w:b/>
          <w:noProof w:val="0"/>
          <w:lang w:eastAsia="de-DE" w:bidi="en-US"/>
        </w:rPr>
        <w:t>,</w:t>
      </w:r>
      <w:r w:rsidRPr="00062DEF">
        <w:rPr>
          <w:rFonts w:eastAsia="Times New Roman"/>
          <w:b/>
          <w:noProof w:val="0"/>
          <w:vertAlign w:val="superscript"/>
          <w:lang w:eastAsia="de-DE" w:bidi="en-US"/>
        </w:rPr>
        <w:t xml:space="preserve"> </w:t>
      </w:r>
      <w:r w:rsidRPr="00062DEF">
        <w:rPr>
          <w:rFonts w:eastAsia="Times New Roman"/>
          <w:b/>
          <w:noProof w:val="0"/>
          <w:lang w:eastAsia="de-DE" w:bidi="en-US"/>
        </w:rPr>
        <w:t>Avery Powell</w:t>
      </w:r>
      <w:r w:rsidRPr="00062DEF">
        <w:rPr>
          <w:rFonts w:eastAsia="Times New Roman"/>
          <w:b/>
          <w:noProof w:val="0"/>
          <w:vertAlign w:val="superscript"/>
          <w:lang w:eastAsia="de-DE" w:bidi="en-US"/>
        </w:rPr>
        <w:t>1,3,5</w:t>
      </w:r>
      <w:r w:rsidRPr="00062DEF">
        <w:rPr>
          <w:rFonts w:eastAsia="Times New Roman"/>
          <w:b/>
          <w:noProof w:val="0"/>
          <w:lang w:eastAsia="de-DE" w:bidi="en-US"/>
        </w:rPr>
        <w:t>, Spenser Waller</w:t>
      </w:r>
      <w:r w:rsidRPr="00062DEF">
        <w:rPr>
          <w:rFonts w:eastAsia="Times New Roman"/>
          <w:b/>
          <w:noProof w:val="0"/>
          <w:vertAlign w:val="superscript"/>
          <w:lang w:eastAsia="de-DE" w:bidi="en-US"/>
        </w:rPr>
        <w:t>1,3,5</w:t>
      </w:r>
      <w:r w:rsidRPr="00062DEF">
        <w:rPr>
          <w:rFonts w:eastAsia="Times New Roman"/>
          <w:b/>
          <w:noProof w:val="0"/>
          <w:lang w:eastAsia="de-DE" w:bidi="en-US"/>
        </w:rPr>
        <w:t>, Stacy L. Wilder</w:t>
      </w:r>
      <w:r w:rsidRPr="00062DEF">
        <w:rPr>
          <w:rFonts w:eastAsia="Times New Roman"/>
          <w:b/>
          <w:noProof w:val="0"/>
          <w:vertAlign w:val="superscript"/>
          <w:lang w:eastAsia="de-DE" w:bidi="en-US"/>
        </w:rPr>
        <w:t>1</w:t>
      </w:r>
      <w:r w:rsidRPr="00062DEF">
        <w:rPr>
          <w:rFonts w:eastAsia="Times New Roman"/>
          <w:b/>
          <w:noProof w:val="0"/>
          <w:lang w:eastAsia="de-DE" w:bidi="en-US"/>
        </w:rPr>
        <w:t>, Stephanie Sopko</w:t>
      </w:r>
      <w:r w:rsidRPr="00062DEF">
        <w:rPr>
          <w:rFonts w:eastAsia="Times New Roman"/>
          <w:b/>
          <w:noProof w:val="0"/>
          <w:vertAlign w:val="superscript"/>
          <w:lang w:eastAsia="de-DE" w:bidi="en-US"/>
        </w:rPr>
        <w:t>1,</w:t>
      </w:r>
      <w:proofErr w:type="gramStart"/>
      <w:r w:rsidRPr="00062DEF">
        <w:rPr>
          <w:rFonts w:eastAsia="Times New Roman"/>
          <w:b/>
          <w:noProof w:val="0"/>
          <w:vertAlign w:val="superscript"/>
          <w:lang w:eastAsia="de-DE" w:bidi="en-US"/>
        </w:rPr>
        <w:t>6,</w:t>
      </w:r>
      <w:r w:rsidRPr="00062DEF">
        <w:rPr>
          <w:rFonts w:eastAsia="Times New Roman"/>
          <w:b/>
          <w:noProof w:val="0"/>
          <w:color w:val="000000" w:themeColor="text1"/>
          <w:vertAlign w:val="superscript"/>
          <w:lang w:eastAsia="de-DE" w:bidi="en-US"/>
        </w:rPr>
        <w:t>†</w:t>
      </w:r>
      <w:proofErr w:type="gramEnd"/>
      <w:r w:rsidRPr="00062DEF">
        <w:rPr>
          <w:rFonts w:eastAsia="+mn-ea"/>
          <w:b/>
          <w:noProof w:val="0"/>
          <w:kern w:val="24"/>
          <w:lang w:eastAsia="de-DE" w:bidi="en-US"/>
        </w:rPr>
        <w:t>,</w:t>
      </w:r>
      <w:r w:rsidRPr="00062DEF">
        <w:rPr>
          <w:rFonts w:eastAsia="Times New Roman"/>
          <w:b/>
          <w:noProof w:val="0"/>
          <w:lang w:eastAsia="de-DE" w:bidi="en-US"/>
        </w:rPr>
        <w:t xml:space="preserve"> Mary Benoit</w:t>
      </w:r>
      <w:r w:rsidRPr="00062DEF">
        <w:rPr>
          <w:rFonts w:eastAsia="Times New Roman"/>
          <w:b/>
          <w:noProof w:val="0"/>
          <w:vertAlign w:val="superscript"/>
          <w:lang w:eastAsia="de-DE" w:bidi="en-US"/>
        </w:rPr>
        <w:t>1,4</w:t>
      </w:r>
      <w:r w:rsidRPr="00062DEF">
        <w:rPr>
          <w:rFonts w:eastAsia="Times New Roman"/>
          <w:b/>
          <w:noProof w:val="0"/>
          <w:lang w:eastAsia="de-DE" w:bidi="en-US"/>
        </w:rPr>
        <w:t>, Garren Powell</w:t>
      </w:r>
      <w:r w:rsidRPr="00062DEF">
        <w:rPr>
          <w:rFonts w:eastAsia="Times New Roman"/>
          <w:b/>
          <w:noProof w:val="0"/>
          <w:vertAlign w:val="superscript"/>
          <w:lang w:eastAsia="de-DE" w:bidi="en-US"/>
        </w:rPr>
        <w:t>1,6</w:t>
      </w:r>
      <w:r w:rsidRPr="00062DEF">
        <w:rPr>
          <w:rFonts w:eastAsia="Times New Roman"/>
          <w:b/>
          <w:noProof w:val="0"/>
          <w:lang w:eastAsia="de-DE" w:bidi="en-US"/>
        </w:rPr>
        <w:t>, Michael J. Schueller</w:t>
      </w:r>
      <w:r w:rsidRPr="00062DEF">
        <w:rPr>
          <w:rFonts w:eastAsia="Times New Roman"/>
          <w:b/>
          <w:noProof w:val="0"/>
          <w:vertAlign w:val="superscript"/>
          <w:lang w:eastAsia="de-DE" w:bidi="en-US"/>
        </w:rPr>
        <w:t>1,2</w:t>
      </w:r>
      <w:r w:rsidRPr="00062DEF">
        <w:rPr>
          <w:rFonts w:eastAsia="Times New Roman"/>
          <w:b/>
          <w:noProof w:val="0"/>
          <w:lang w:eastAsia="de-DE" w:bidi="en-US"/>
        </w:rPr>
        <w:t>, Richard A. Ferrieri</w:t>
      </w:r>
      <w:r w:rsidRPr="00062DEF">
        <w:rPr>
          <w:rFonts w:eastAsia="Times New Roman"/>
          <w:b/>
          <w:noProof w:val="0"/>
          <w:vertAlign w:val="superscript"/>
          <w:lang w:eastAsia="de-DE" w:bidi="en-US"/>
        </w:rPr>
        <w:t>1,2,3,4,*</w:t>
      </w:r>
    </w:p>
    <w:p w14:paraId="726AD591" w14:textId="5A69AB70" w:rsidR="001C60AE" w:rsidRDefault="001C60AE" w:rsidP="00C07039">
      <w:pPr>
        <w:pStyle w:val="MDPI13authornames"/>
      </w:pPr>
    </w:p>
    <w:p w14:paraId="0E0856D7" w14:textId="77777777" w:rsidR="00062DEF" w:rsidRPr="00062DEF" w:rsidRDefault="00062DEF" w:rsidP="00062DEF">
      <w:pPr>
        <w:numPr>
          <w:ilvl w:val="0"/>
          <w:numId w:val="24"/>
        </w:numPr>
        <w:tabs>
          <w:tab w:val="left" w:pos="2610"/>
        </w:tabs>
        <w:adjustRightInd w:val="0"/>
        <w:snapToGrid w:val="0"/>
        <w:spacing w:line="200" w:lineRule="atLeast"/>
        <w:ind w:left="2692" w:hanging="86"/>
        <w:jc w:val="left"/>
        <w:rPr>
          <w:rFonts w:eastAsia="Times New Roman"/>
          <w:noProof w:val="0"/>
          <w:color w:val="000000" w:themeColor="text1"/>
          <w:sz w:val="16"/>
          <w:szCs w:val="16"/>
          <w:lang w:eastAsia="de-DE" w:bidi="en-US"/>
        </w:rPr>
      </w:pPr>
      <w:r w:rsidRPr="00062DEF">
        <w:rPr>
          <w:rFonts w:eastAsia="Times New Roman"/>
          <w:noProof w:val="0"/>
          <w:sz w:val="16"/>
          <w:szCs w:val="16"/>
          <w:lang w:eastAsia="de-DE" w:bidi="en-US"/>
        </w:rPr>
        <w:t xml:space="preserve">Missouri </w:t>
      </w:r>
      <w:bookmarkStart w:id="1" w:name="_Hlk133322150"/>
      <w:r w:rsidRPr="00062DEF">
        <w:rPr>
          <w:rFonts w:eastAsia="Times New Roman"/>
          <w:noProof w:val="0"/>
          <w:sz w:val="16"/>
          <w:szCs w:val="16"/>
          <w:lang w:eastAsia="de-DE" w:bidi="en-US"/>
        </w:rPr>
        <w:t xml:space="preserve">Research Reactor Center, University of Missouri, Columbia, MO 65211 (A.B.H., </w:t>
      </w:r>
      <w:hyperlink r:id="rId7" w:history="1">
        <w:r w:rsidRPr="00062DEF">
          <w:rPr>
            <w:rFonts w:eastAsia="Times New Roman"/>
            <w:noProof w:val="0"/>
            <w:color w:val="00B0F0"/>
            <w:sz w:val="16"/>
            <w:szCs w:val="16"/>
            <w:lang w:eastAsia="de-DE" w:bidi="en-US"/>
          </w:rPr>
          <w:t>alibauer1109@gmail.com</w:t>
        </w:r>
      </w:hyperlink>
      <w:r w:rsidRPr="00062DEF">
        <w:rPr>
          <w:rFonts w:eastAsia="Times New Roman"/>
          <w:noProof w:val="0"/>
          <w:sz w:val="16"/>
          <w:szCs w:val="16"/>
          <w:lang w:eastAsia="de-DE" w:bidi="en-US"/>
        </w:rPr>
        <w:t xml:space="preserve">; </w:t>
      </w:r>
      <w:r w:rsidRPr="00062DEF">
        <w:rPr>
          <w:rFonts w:eastAsia="Times New Roman"/>
          <w:noProof w:val="0"/>
          <w:color w:val="000000" w:themeColor="text1"/>
          <w:sz w:val="16"/>
          <w:szCs w:val="16"/>
          <w:lang w:eastAsia="de-DE" w:bidi="en-US"/>
        </w:rPr>
        <w:t xml:space="preserve">R.N., </w:t>
      </w:r>
      <w:hyperlink r:id="rId8" w:history="1">
        <w:r w:rsidRPr="00062DEF">
          <w:rPr>
            <w:rFonts w:eastAsia="Times New Roman"/>
            <w:noProof w:val="0"/>
            <w:color w:val="00B0F0"/>
            <w:sz w:val="16"/>
            <w:szCs w:val="16"/>
            <w:u w:val="single"/>
            <w:lang w:eastAsia="de-DE" w:bidi="en-US"/>
          </w:rPr>
          <w:t>rlnhmh@umsystem.edu</w:t>
        </w:r>
      </w:hyperlink>
      <w:r w:rsidRPr="00062DEF">
        <w:rPr>
          <w:rFonts w:eastAsia="Times New Roman"/>
          <w:noProof w:val="0"/>
          <w:color w:val="00B0F0"/>
          <w:sz w:val="16"/>
          <w:szCs w:val="16"/>
          <w:lang w:eastAsia="de-DE" w:bidi="en-US"/>
        </w:rPr>
        <w:t xml:space="preserve">; </w:t>
      </w:r>
      <w:r w:rsidRPr="00062DEF">
        <w:rPr>
          <w:rFonts w:eastAsia="Times New Roman"/>
          <w:noProof w:val="0"/>
          <w:color w:val="000000" w:themeColor="text1"/>
          <w:sz w:val="16"/>
          <w:szCs w:val="16"/>
          <w:lang w:eastAsia="de-DE" w:bidi="en-US"/>
        </w:rPr>
        <w:t xml:space="preserve">A.P., </w:t>
      </w:r>
      <w:r w:rsidRPr="00062DEF">
        <w:rPr>
          <w:rFonts w:eastAsia="Times New Roman"/>
          <w:noProof w:val="0"/>
          <w:color w:val="00B0F0"/>
          <w:sz w:val="16"/>
          <w:szCs w:val="16"/>
          <w:lang w:eastAsia="de-DE" w:bidi="en-US"/>
        </w:rPr>
        <w:t>avery.snyder00@gmail.com</w:t>
      </w:r>
      <w:r w:rsidRPr="00062DEF">
        <w:rPr>
          <w:rFonts w:eastAsia="Times New Roman"/>
          <w:noProof w:val="0"/>
          <w:color w:val="000000" w:themeColor="text1"/>
          <w:sz w:val="16"/>
          <w:szCs w:val="16"/>
          <w:lang w:eastAsia="de-DE" w:bidi="en-US"/>
        </w:rPr>
        <w:t xml:space="preserve">; S.L.W., </w:t>
      </w:r>
      <w:hyperlink r:id="rId9" w:history="1">
        <w:r w:rsidRPr="00062DEF">
          <w:rPr>
            <w:rFonts w:eastAsia="Times New Roman"/>
            <w:noProof w:val="0"/>
            <w:color w:val="00B0F0"/>
            <w:sz w:val="16"/>
            <w:szCs w:val="16"/>
            <w:u w:val="single"/>
            <w:lang w:eastAsia="de-DE" w:bidi="en-US"/>
          </w:rPr>
          <w:t>wildersl@missouri.edu</w:t>
        </w:r>
      </w:hyperlink>
      <w:r w:rsidRPr="00062DEF">
        <w:rPr>
          <w:rFonts w:eastAsia="Times New Roman"/>
          <w:noProof w:val="0"/>
          <w:color w:val="000000" w:themeColor="text1"/>
          <w:sz w:val="16"/>
          <w:szCs w:val="16"/>
          <w:lang w:eastAsia="de-DE" w:bidi="en-US"/>
        </w:rPr>
        <w:t>;</w:t>
      </w:r>
      <w:r w:rsidRPr="00062DEF">
        <w:rPr>
          <w:rFonts w:eastAsia="Times New Roman"/>
          <w:noProof w:val="0"/>
          <w:sz w:val="16"/>
          <w:szCs w:val="16"/>
          <w:lang w:eastAsia="de-DE" w:bidi="en-US"/>
        </w:rPr>
        <w:t xml:space="preserve"> </w:t>
      </w:r>
      <w:r w:rsidRPr="00062DEF">
        <w:rPr>
          <w:rFonts w:eastAsia="Times New Roman"/>
          <w:noProof w:val="0"/>
          <w:color w:val="000000" w:themeColor="text1"/>
          <w:sz w:val="16"/>
          <w:szCs w:val="16"/>
          <w:lang w:eastAsia="de-DE" w:bidi="en-US"/>
        </w:rPr>
        <w:t xml:space="preserve">S.S., </w:t>
      </w:r>
      <w:hyperlink r:id="rId10" w:history="1">
        <w:r w:rsidRPr="00062DEF">
          <w:rPr>
            <w:rFonts w:eastAsia="Times New Roman"/>
            <w:noProof w:val="0"/>
            <w:color w:val="1CA1C4"/>
            <w:sz w:val="16"/>
            <w:szCs w:val="16"/>
            <w:lang w:eastAsia="de-DE" w:bidi="en-US"/>
          </w:rPr>
          <w:t>sa207945@atsu.edu</w:t>
        </w:r>
      </w:hyperlink>
      <w:r w:rsidRPr="00062DEF">
        <w:rPr>
          <w:rFonts w:eastAsia="Times New Roman"/>
          <w:noProof w:val="0"/>
          <w:color w:val="000000" w:themeColor="text1"/>
          <w:sz w:val="16"/>
          <w:szCs w:val="16"/>
          <w:lang w:eastAsia="de-DE" w:bidi="en-US"/>
        </w:rPr>
        <w:t xml:space="preserve">; M.B., </w:t>
      </w:r>
      <w:hyperlink r:id="rId11" w:history="1">
        <w:r w:rsidRPr="00062DEF">
          <w:rPr>
            <w:rFonts w:eastAsia="Times New Roman"/>
            <w:noProof w:val="0"/>
            <w:color w:val="1CA1C4"/>
            <w:sz w:val="16"/>
            <w:szCs w:val="16"/>
            <w:lang w:eastAsia="de-DE" w:bidi="en-US"/>
          </w:rPr>
          <w:t>mvbf4w@mail.missouri.edu</w:t>
        </w:r>
      </w:hyperlink>
      <w:r w:rsidRPr="00062DEF">
        <w:rPr>
          <w:rFonts w:eastAsia="Times New Roman"/>
          <w:noProof w:val="0"/>
          <w:color w:val="000000" w:themeColor="text1"/>
          <w:sz w:val="16"/>
          <w:szCs w:val="16"/>
          <w:lang w:eastAsia="de-DE" w:bidi="en-US"/>
        </w:rPr>
        <w:t xml:space="preserve">; </w:t>
      </w:r>
      <w:r w:rsidRPr="00062DEF">
        <w:rPr>
          <w:rFonts w:eastAsia="Times New Roman"/>
          <w:noProof w:val="0"/>
          <w:sz w:val="16"/>
          <w:szCs w:val="16"/>
          <w:lang w:eastAsia="de-DE" w:bidi="en-US"/>
        </w:rPr>
        <w:t xml:space="preserve">G.P., </w:t>
      </w:r>
      <w:hyperlink r:id="rId12" w:history="1">
        <w:r w:rsidRPr="00062DEF">
          <w:rPr>
            <w:rFonts w:eastAsia="Times New Roman"/>
            <w:noProof w:val="0"/>
            <w:color w:val="00B0F0"/>
            <w:sz w:val="16"/>
            <w:szCs w:val="16"/>
            <w:u w:val="single"/>
            <w:lang w:eastAsia="de-DE" w:bidi="en-US"/>
          </w:rPr>
          <w:t>gmp722@health.missouri.edu</w:t>
        </w:r>
      </w:hyperlink>
      <w:r w:rsidRPr="00062DEF">
        <w:rPr>
          <w:rFonts w:eastAsia="Times New Roman"/>
          <w:noProof w:val="0"/>
          <w:color w:val="000000" w:themeColor="text1"/>
          <w:sz w:val="16"/>
          <w:szCs w:val="16"/>
          <w:lang w:eastAsia="de-DE" w:bidi="en-US"/>
        </w:rPr>
        <w:t xml:space="preserve">; S.W., </w:t>
      </w:r>
      <w:hyperlink r:id="rId13" w:history="1">
        <w:r w:rsidRPr="00062DEF">
          <w:rPr>
            <w:rFonts w:eastAsia="Times New Roman"/>
            <w:noProof w:val="0"/>
            <w:color w:val="00B0F0"/>
            <w:sz w:val="16"/>
            <w:szCs w:val="16"/>
            <w:u w:val="single"/>
            <w:lang w:eastAsia="de-DE" w:bidi="en-US"/>
          </w:rPr>
          <w:t>spenserwaller@gmail.com</w:t>
        </w:r>
      </w:hyperlink>
      <w:r w:rsidRPr="00062DEF">
        <w:rPr>
          <w:rFonts w:eastAsia="Times New Roman"/>
          <w:noProof w:val="0"/>
          <w:color w:val="000000" w:themeColor="text1"/>
          <w:sz w:val="16"/>
          <w:szCs w:val="16"/>
          <w:lang w:eastAsia="de-DE" w:bidi="en-US"/>
        </w:rPr>
        <w:t xml:space="preserve">; M.J.S., </w:t>
      </w:r>
      <w:hyperlink r:id="rId14" w:history="1">
        <w:r w:rsidRPr="00062DEF">
          <w:rPr>
            <w:rFonts w:eastAsia="Times New Roman"/>
            <w:noProof w:val="0"/>
            <w:color w:val="1CA1C4"/>
            <w:sz w:val="16"/>
            <w:szCs w:val="16"/>
            <w:lang w:eastAsia="de-DE" w:bidi="en-US"/>
          </w:rPr>
          <w:t>schuellerm@missouri.edu</w:t>
        </w:r>
      </w:hyperlink>
      <w:r w:rsidRPr="00062DEF">
        <w:rPr>
          <w:rFonts w:eastAsia="Times New Roman"/>
          <w:noProof w:val="0"/>
          <w:color w:val="000000" w:themeColor="text1"/>
          <w:sz w:val="16"/>
          <w:szCs w:val="16"/>
          <w:lang w:eastAsia="de-DE" w:bidi="en-US"/>
        </w:rPr>
        <w:t xml:space="preserve">; R.A.F., </w:t>
      </w:r>
      <w:hyperlink r:id="rId15" w:history="1">
        <w:r w:rsidRPr="00062DEF">
          <w:rPr>
            <w:rFonts w:eastAsia="Times New Roman"/>
            <w:noProof w:val="0"/>
            <w:color w:val="1CA1C4"/>
            <w:sz w:val="16"/>
            <w:szCs w:val="16"/>
            <w:lang w:eastAsia="de-DE" w:bidi="en-US"/>
          </w:rPr>
          <w:t>ferrierir@missouri.edu</w:t>
        </w:r>
      </w:hyperlink>
      <w:r w:rsidRPr="00062DEF">
        <w:rPr>
          <w:rFonts w:eastAsia="Times New Roman"/>
          <w:noProof w:val="0"/>
          <w:color w:val="000000" w:themeColor="text1"/>
          <w:sz w:val="16"/>
          <w:szCs w:val="16"/>
          <w:lang w:eastAsia="de-DE" w:bidi="en-US"/>
        </w:rPr>
        <w:t>),</w:t>
      </w:r>
    </w:p>
    <w:bookmarkEnd w:id="1"/>
    <w:p w14:paraId="70F82801" w14:textId="77777777" w:rsidR="00062DEF" w:rsidRPr="00062DEF" w:rsidRDefault="00062DEF" w:rsidP="00062DEF">
      <w:pPr>
        <w:numPr>
          <w:ilvl w:val="0"/>
          <w:numId w:val="24"/>
        </w:numPr>
        <w:tabs>
          <w:tab w:val="left" w:pos="2610"/>
        </w:tabs>
        <w:adjustRightInd w:val="0"/>
        <w:snapToGrid w:val="0"/>
        <w:spacing w:line="200" w:lineRule="atLeast"/>
        <w:ind w:left="2692" w:hanging="86"/>
        <w:jc w:val="left"/>
        <w:rPr>
          <w:rFonts w:eastAsia="Times New Roman"/>
          <w:noProof w:val="0"/>
          <w:sz w:val="16"/>
          <w:szCs w:val="16"/>
          <w:lang w:eastAsia="de-DE" w:bidi="en-US"/>
        </w:rPr>
      </w:pPr>
      <w:r w:rsidRPr="00062DEF">
        <w:rPr>
          <w:rFonts w:eastAsia="Times New Roman"/>
          <w:noProof w:val="0"/>
          <w:sz w:val="16"/>
          <w:szCs w:val="16"/>
          <w:lang w:eastAsia="de-DE" w:bidi="en-US"/>
        </w:rPr>
        <w:t>Chemistry Department, University of Missouri, Columbia, MO 65211,</w:t>
      </w:r>
    </w:p>
    <w:p w14:paraId="7B23AD83" w14:textId="77777777" w:rsidR="00062DEF" w:rsidRPr="00062DEF" w:rsidRDefault="00062DEF" w:rsidP="00062DEF">
      <w:pPr>
        <w:numPr>
          <w:ilvl w:val="0"/>
          <w:numId w:val="24"/>
        </w:numPr>
        <w:tabs>
          <w:tab w:val="left" w:pos="2610"/>
        </w:tabs>
        <w:adjustRightInd w:val="0"/>
        <w:snapToGrid w:val="0"/>
        <w:spacing w:line="200" w:lineRule="atLeast"/>
        <w:ind w:left="2692" w:hanging="86"/>
        <w:jc w:val="left"/>
        <w:rPr>
          <w:rFonts w:eastAsia="Times New Roman"/>
          <w:noProof w:val="0"/>
          <w:sz w:val="16"/>
          <w:szCs w:val="16"/>
          <w:lang w:eastAsia="de-DE" w:bidi="en-US"/>
        </w:rPr>
      </w:pPr>
      <w:r w:rsidRPr="00062DEF">
        <w:rPr>
          <w:rFonts w:eastAsia="Times New Roman"/>
          <w:noProof w:val="0"/>
          <w:sz w:val="16"/>
          <w:szCs w:val="16"/>
          <w:lang w:eastAsia="de-DE" w:bidi="en-US"/>
        </w:rPr>
        <w:t>Interdisciplinary Plant Group, University of Missouri, Columbia, MO 65211,</w:t>
      </w:r>
    </w:p>
    <w:p w14:paraId="22C4843C" w14:textId="77777777" w:rsidR="00062DEF" w:rsidRPr="00062DEF" w:rsidRDefault="00062DEF" w:rsidP="00062DEF">
      <w:pPr>
        <w:numPr>
          <w:ilvl w:val="0"/>
          <w:numId w:val="24"/>
        </w:numPr>
        <w:tabs>
          <w:tab w:val="left" w:pos="2610"/>
        </w:tabs>
        <w:adjustRightInd w:val="0"/>
        <w:snapToGrid w:val="0"/>
        <w:spacing w:line="200" w:lineRule="atLeast"/>
        <w:ind w:left="2692" w:hanging="86"/>
        <w:jc w:val="left"/>
        <w:rPr>
          <w:rFonts w:eastAsia="Times New Roman"/>
          <w:noProof w:val="0"/>
          <w:sz w:val="16"/>
          <w:szCs w:val="16"/>
          <w:lang w:eastAsia="de-DE" w:bidi="en-US"/>
        </w:rPr>
      </w:pPr>
      <w:r w:rsidRPr="00062DEF">
        <w:rPr>
          <w:rFonts w:eastAsia="Times New Roman"/>
          <w:noProof w:val="0"/>
          <w:sz w:val="16"/>
          <w:szCs w:val="16"/>
          <w:lang w:eastAsia="de-DE" w:bidi="en-US"/>
        </w:rPr>
        <w:t>Division of Plant Science &amp; Technology, University of Missouri, Columbia, MO 65211,</w:t>
      </w:r>
    </w:p>
    <w:p w14:paraId="6811BF32" w14:textId="77777777" w:rsidR="00062DEF" w:rsidRPr="00062DEF" w:rsidRDefault="00062DEF" w:rsidP="00062DEF">
      <w:pPr>
        <w:numPr>
          <w:ilvl w:val="0"/>
          <w:numId w:val="24"/>
        </w:numPr>
        <w:tabs>
          <w:tab w:val="left" w:pos="2610"/>
        </w:tabs>
        <w:adjustRightInd w:val="0"/>
        <w:snapToGrid w:val="0"/>
        <w:spacing w:line="200" w:lineRule="atLeast"/>
        <w:ind w:left="2692" w:hanging="86"/>
        <w:jc w:val="left"/>
        <w:rPr>
          <w:rFonts w:eastAsia="Times New Roman"/>
          <w:noProof w:val="0"/>
          <w:sz w:val="16"/>
          <w:szCs w:val="16"/>
          <w:lang w:eastAsia="de-DE" w:bidi="en-US"/>
        </w:rPr>
      </w:pPr>
      <w:r w:rsidRPr="00062DEF">
        <w:rPr>
          <w:rFonts w:eastAsia="Times New Roman"/>
          <w:noProof w:val="0"/>
          <w:sz w:val="16"/>
          <w:szCs w:val="16"/>
          <w:lang w:eastAsia="de-DE" w:bidi="en-US"/>
        </w:rPr>
        <w:t>School of Natural Resources, University of Missouri, Columbia, MO 65211,</w:t>
      </w:r>
    </w:p>
    <w:p w14:paraId="0BE0D35C" w14:textId="77777777" w:rsidR="00062DEF" w:rsidRPr="00062DEF" w:rsidRDefault="00062DEF" w:rsidP="00062DEF">
      <w:pPr>
        <w:numPr>
          <w:ilvl w:val="0"/>
          <w:numId w:val="24"/>
        </w:numPr>
        <w:tabs>
          <w:tab w:val="left" w:pos="2610"/>
        </w:tabs>
        <w:adjustRightInd w:val="0"/>
        <w:snapToGrid w:val="0"/>
        <w:spacing w:line="200" w:lineRule="atLeast"/>
        <w:ind w:left="2692" w:hanging="86"/>
        <w:jc w:val="left"/>
        <w:rPr>
          <w:rFonts w:eastAsia="Times New Roman"/>
          <w:noProof w:val="0"/>
          <w:sz w:val="16"/>
          <w:szCs w:val="16"/>
          <w:lang w:eastAsia="de-DE" w:bidi="en-US"/>
        </w:rPr>
      </w:pPr>
      <w:r w:rsidRPr="00062DEF">
        <w:rPr>
          <w:rFonts w:eastAsia="Times New Roman"/>
          <w:noProof w:val="0"/>
          <w:sz w:val="16"/>
          <w:szCs w:val="16"/>
          <w:lang w:eastAsia="de-DE" w:bidi="en-US"/>
        </w:rPr>
        <w:t xml:space="preserve">Department of Biochemistry, University of Missouri, Columbia, MO 65211, </w:t>
      </w:r>
    </w:p>
    <w:p w14:paraId="4B191D01" w14:textId="1EE6E61A" w:rsidR="00062DEF" w:rsidRPr="00062DEF" w:rsidRDefault="00062DEF" w:rsidP="00062DEF">
      <w:pPr>
        <w:tabs>
          <w:tab w:val="left" w:pos="2610"/>
        </w:tabs>
        <w:adjustRightInd w:val="0"/>
        <w:snapToGrid w:val="0"/>
        <w:spacing w:line="200" w:lineRule="atLeast"/>
        <w:ind w:left="2700" w:hanging="90"/>
        <w:jc w:val="left"/>
        <w:rPr>
          <w:rFonts w:eastAsia="Times New Roman"/>
          <w:noProof w:val="0"/>
          <w:sz w:val="16"/>
          <w:szCs w:val="16"/>
          <w:lang w:eastAsia="de-DE" w:bidi="en-US"/>
        </w:rPr>
      </w:pPr>
      <w:r w:rsidRPr="00062DEF">
        <w:rPr>
          <w:rFonts w:eastAsia="Times New Roman"/>
          <w:noProof w:val="0"/>
          <w:color w:val="000000" w:themeColor="text1"/>
          <w:sz w:val="16"/>
          <w:szCs w:val="16"/>
          <w:lang w:eastAsia="de-DE" w:bidi="en-US"/>
        </w:rPr>
        <w:t>†</w:t>
      </w:r>
      <w:r w:rsidRPr="00062DEF">
        <w:rPr>
          <w:rFonts w:eastAsia="+mn-ea"/>
          <w:noProof w:val="0"/>
          <w:kern w:val="24"/>
          <w:sz w:val="16"/>
          <w:szCs w:val="16"/>
          <w:lang w:eastAsia="de-DE" w:bidi="en-US"/>
        </w:rPr>
        <w:t xml:space="preserve"> </w:t>
      </w:r>
      <w:r w:rsidRPr="00062DEF">
        <w:rPr>
          <w:rFonts w:eastAsia="+mn-ea"/>
          <w:i/>
          <w:noProof w:val="0"/>
          <w:kern w:val="24"/>
          <w:sz w:val="16"/>
          <w:szCs w:val="16"/>
          <w:lang w:eastAsia="de-DE" w:bidi="en-US"/>
        </w:rPr>
        <w:t>Present Address</w:t>
      </w:r>
      <w:r w:rsidRPr="00062DEF">
        <w:rPr>
          <w:rFonts w:eastAsia="+mn-ea"/>
          <w:iCs/>
          <w:noProof w:val="0"/>
          <w:kern w:val="24"/>
          <w:sz w:val="16"/>
          <w:szCs w:val="16"/>
          <w:lang w:eastAsia="de-DE" w:bidi="en-US"/>
        </w:rPr>
        <w:t xml:space="preserve">:  </w:t>
      </w:r>
      <w:r w:rsidRPr="00062DEF">
        <w:rPr>
          <w:rFonts w:eastAsia="Times New Roman" w:cs="Arial"/>
          <w:noProof w:val="0"/>
          <w:color w:val="222222"/>
          <w:sz w:val="16"/>
          <w:szCs w:val="16"/>
          <w:shd w:val="clear" w:color="auto" w:fill="FFFFFF"/>
          <w:lang w:eastAsia="de-DE" w:bidi="en-US"/>
        </w:rPr>
        <w:t>Osteopathic School of Medicine, A.T. Still University of Health Sciences, Kirksville, MO 63501, USA.</w:t>
      </w:r>
    </w:p>
    <w:p w14:paraId="1D7A8C20" w14:textId="72EBA39D" w:rsidR="00062DEF" w:rsidRPr="00062DEF" w:rsidRDefault="00062DEF" w:rsidP="00E8233D">
      <w:pPr>
        <w:tabs>
          <w:tab w:val="left" w:pos="2610"/>
        </w:tabs>
        <w:spacing w:line="200" w:lineRule="atLeast"/>
        <w:ind w:left="2692" w:hanging="86"/>
        <w:jc w:val="left"/>
        <w:rPr>
          <w:rFonts w:eastAsia="Times New Roman"/>
          <w:noProof w:val="0"/>
          <w:color w:val="auto"/>
          <w:sz w:val="16"/>
          <w:szCs w:val="16"/>
          <w:lang w:eastAsia="en-US"/>
        </w:rPr>
      </w:pPr>
      <w:r w:rsidRPr="00062DEF">
        <w:rPr>
          <w:rFonts w:eastAsia="Times New Roman"/>
          <w:noProof w:val="0"/>
          <w:color w:val="000000" w:themeColor="text1"/>
          <w:sz w:val="16"/>
          <w:szCs w:val="16"/>
          <w:lang w:eastAsia="en-US"/>
        </w:rPr>
        <w:t xml:space="preserve">* </w:t>
      </w:r>
      <w:r w:rsidRPr="00062DEF">
        <w:rPr>
          <w:rFonts w:eastAsia="Times New Roman"/>
          <w:i/>
          <w:noProof w:val="0"/>
          <w:color w:val="000000" w:themeColor="text1"/>
          <w:sz w:val="16"/>
          <w:szCs w:val="16"/>
          <w:lang w:eastAsia="en-US"/>
        </w:rPr>
        <w:t>Correspond</w:t>
      </w:r>
      <w:r w:rsidR="00E8233D" w:rsidRPr="00E8233D">
        <w:rPr>
          <w:rFonts w:eastAsia="Times New Roman"/>
          <w:i/>
          <w:noProof w:val="0"/>
          <w:color w:val="000000" w:themeColor="text1"/>
          <w:sz w:val="16"/>
          <w:szCs w:val="16"/>
          <w:lang w:eastAsia="en-US"/>
        </w:rPr>
        <w:t>ence</w:t>
      </w:r>
      <w:r w:rsidRPr="00062DEF">
        <w:rPr>
          <w:rFonts w:eastAsia="Times New Roman"/>
          <w:noProof w:val="0"/>
          <w:color w:val="000000" w:themeColor="text1"/>
          <w:sz w:val="16"/>
          <w:szCs w:val="16"/>
          <w:lang w:eastAsia="en-US"/>
        </w:rPr>
        <w:t>:  Richard A. Ferrieri (</w:t>
      </w:r>
      <w:r w:rsidRPr="00062DEF">
        <w:rPr>
          <w:rFonts w:eastAsia="Times New Roman"/>
          <w:i/>
          <w:noProof w:val="0"/>
          <w:color w:val="000000" w:themeColor="text1"/>
          <w:sz w:val="16"/>
          <w:szCs w:val="16"/>
          <w:lang w:eastAsia="en-US"/>
        </w:rPr>
        <w:t>Email</w:t>
      </w:r>
      <w:r w:rsidRPr="00062DEF">
        <w:rPr>
          <w:rFonts w:eastAsia="Times New Roman"/>
          <w:noProof w:val="0"/>
          <w:color w:val="000000" w:themeColor="text1"/>
          <w:sz w:val="16"/>
          <w:szCs w:val="16"/>
          <w:lang w:eastAsia="en-US"/>
        </w:rPr>
        <w:t xml:space="preserve">: </w:t>
      </w:r>
      <w:hyperlink r:id="rId16" w:history="1">
        <w:r w:rsidRPr="00062DEF">
          <w:rPr>
            <w:rFonts w:eastAsia="Times New Roman"/>
            <w:noProof w:val="0"/>
            <w:color w:val="1CA1C4"/>
            <w:sz w:val="16"/>
            <w:szCs w:val="16"/>
            <w:lang w:eastAsia="en-US"/>
          </w:rPr>
          <w:t>ferrierir@missouri.edu</w:t>
        </w:r>
      </w:hyperlink>
      <w:r w:rsidR="00E8233D">
        <w:rPr>
          <w:rFonts w:eastAsia="Times New Roman"/>
          <w:noProof w:val="0"/>
          <w:color w:val="auto"/>
          <w:sz w:val="16"/>
          <w:szCs w:val="16"/>
          <w:lang w:eastAsia="en-US"/>
        </w:rPr>
        <w:t>, Tel: 1-573-882-5211)</w:t>
      </w:r>
    </w:p>
    <w:p w14:paraId="3407635A" w14:textId="0BA014EB" w:rsidR="00C07039" w:rsidRPr="00550626" w:rsidRDefault="00C07039" w:rsidP="00062DEF">
      <w:pPr>
        <w:pStyle w:val="MDPI16affiliation"/>
      </w:pPr>
    </w:p>
    <w:tbl>
      <w:tblPr>
        <w:tblpPr w:leftFromText="198" w:rightFromText="198" w:vertAnchor="page" w:horzAnchor="margin" w:tblpY="8581"/>
        <w:tblW w:w="2410" w:type="dxa"/>
        <w:tblLayout w:type="fixed"/>
        <w:tblCellMar>
          <w:left w:w="0" w:type="dxa"/>
          <w:right w:w="0" w:type="dxa"/>
        </w:tblCellMar>
        <w:tblLook w:val="04A0" w:firstRow="1" w:lastRow="0" w:firstColumn="1" w:lastColumn="0" w:noHBand="0" w:noVBand="1"/>
      </w:tblPr>
      <w:tblGrid>
        <w:gridCol w:w="2410"/>
      </w:tblGrid>
      <w:tr w:rsidR="00BF526D" w:rsidRPr="00EB148C" w14:paraId="0E1B2E7E" w14:textId="77777777" w:rsidTr="00BF526D">
        <w:tc>
          <w:tcPr>
            <w:tcW w:w="2410" w:type="dxa"/>
            <w:shd w:val="clear" w:color="auto" w:fill="auto"/>
          </w:tcPr>
          <w:p w14:paraId="7D1DFC62" w14:textId="77777777" w:rsidR="00BF526D" w:rsidRPr="006C0F32" w:rsidRDefault="00BF526D" w:rsidP="00BF526D">
            <w:pPr>
              <w:pStyle w:val="MDPI61Citation"/>
              <w:spacing w:after="120" w:line="240" w:lineRule="exact"/>
            </w:pPr>
            <w:r w:rsidRPr="00D46950">
              <w:rPr>
                <w:b/>
              </w:rPr>
              <w:t>Citation:</w:t>
            </w:r>
            <w:r>
              <w:rPr>
                <w:b/>
              </w:rPr>
              <w:t xml:space="preserve"> </w:t>
            </w:r>
            <w:r>
              <w:t>To be added by editorial staff during production.</w:t>
            </w:r>
          </w:p>
          <w:p w14:paraId="02682A0D" w14:textId="77777777" w:rsidR="00BF526D" w:rsidRDefault="00BF526D" w:rsidP="00BF526D">
            <w:pPr>
              <w:pStyle w:val="MDPI15academiceditor"/>
              <w:spacing w:after="120"/>
            </w:pPr>
            <w:r>
              <w:t>Academic Editor: Philippe Jeandet, Essaid Ait Barka, Rachid Lahlahi</w:t>
            </w:r>
          </w:p>
          <w:p w14:paraId="7121DE4E" w14:textId="77777777" w:rsidR="00BF526D" w:rsidRPr="007635C5" w:rsidRDefault="00BF526D" w:rsidP="00BF526D">
            <w:pPr>
              <w:pStyle w:val="MDPI14history"/>
              <w:spacing w:before="120"/>
            </w:pPr>
            <w:r w:rsidRPr="007635C5">
              <w:t>Received: date</w:t>
            </w:r>
          </w:p>
          <w:p w14:paraId="3B5A4F46" w14:textId="77777777" w:rsidR="00BF526D" w:rsidRDefault="00BF526D" w:rsidP="00BF526D">
            <w:pPr>
              <w:pStyle w:val="MDPI14history"/>
            </w:pPr>
            <w:r>
              <w:t>Revised: date</w:t>
            </w:r>
          </w:p>
          <w:p w14:paraId="12A0016E" w14:textId="77777777" w:rsidR="00BF526D" w:rsidRPr="007635C5" w:rsidRDefault="00BF526D" w:rsidP="00BF526D">
            <w:pPr>
              <w:pStyle w:val="MDPI14history"/>
            </w:pPr>
            <w:r>
              <w:t>Accepted: date</w:t>
            </w:r>
          </w:p>
          <w:p w14:paraId="1F639A00" w14:textId="77777777" w:rsidR="00BF526D" w:rsidRPr="007635C5" w:rsidRDefault="00BF526D" w:rsidP="00BF526D">
            <w:pPr>
              <w:pStyle w:val="MDPI14history"/>
              <w:spacing w:after="120"/>
            </w:pPr>
            <w:r w:rsidRPr="007635C5">
              <w:t>Published: date</w:t>
            </w:r>
          </w:p>
          <w:p w14:paraId="4B17BEF3" w14:textId="77777777" w:rsidR="00BF526D" w:rsidRPr="00EB148C" w:rsidRDefault="00BF526D" w:rsidP="00BF526D">
            <w:pPr>
              <w:adjustRightInd w:val="0"/>
              <w:snapToGrid w:val="0"/>
              <w:spacing w:before="120" w:line="240" w:lineRule="atLeast"/>
              <w:ind w:right="113"/>
              <w:jc w:val="left"/>
              <w:rPr>
                <w:rFonts w:eastAsia="DengXian"/>
                <w:bCs/>
                <w:sz w:val="14"/>
                <w:szCs w:val="14"/>
                <w:lang w:bidi="en-US"/>
              </w:rPr>
            </w:pPr>
            <w:r w:rsidRPr="00EB148C">
              <w:rPr>
                <w:rFonts w:eastAsia="DengXian"/>
              </w:rPr>
              <w:drawing>
                <wp:inline distT="0" distB="0" distL="0" distR="0" wp14:anchorId="43D34BEC" wp14:editId="1C1486C3">
                  <wp:extent cx="692785" cy="249555"/>
                  <wp:effectExtent l="0" t="0" r="0" b="0"/>
                  <wp:docPr id="3" name="Picture 4" descr="A picture containing pool ball, circl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descr="A picture containing pool ball, circle, screensho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92785" cy="249555"/>
                          </a:xfrm>
                          <a:prstGeom prst="rect">
                            <a:avLst/>
                          </a:prstGeom>
                          <a:noFill/>
                          <a:ln>
                            <a:noFill/>
                          </a:ln>
                        </pic:spPr>
                      </pic:pic>
                    </a:graphicData>
                  </a:graphic>
                </wp:inline>
              </w:drawing>
            </w:r>
          </w:p>
          <w:p w14:paraId="69055F05" w14:textId="77777777" w:rsidR="00BF526D" w:rsidRPr="00EB148C" w:rsidRDefault="00BF526D" w:rsidP="00BF526D">
            <w:pPr>
              <w:pStyle w:val="MDPI72Copyright"/>
              <w:rPr>
                <w:rFonts w:eastAsia="DengXian"/>
                <w:lang w:bidi="en-US"/>
              </w:rPr>
            </w:pPr>
            <w:r w:rsidRPr="00EB148C">
              <w:rPr>
                <w:rFonts w:eastAsia="DengXian"/>
                <w:b/>
                <w:lang w:bidi="en-US"/>
              </w:rPr>
              <w:t>Copyright:</w:t>
            </w:r>
            <w:r w:rsidRPr="00EB148C">
              <w:rPr>
                <w:rFonts w:eastAsia="DengXian"/>
                <w:lang w:bidi="en-US"/>
              </w:rPr>
              <w:t xml:space="preserve"> </w:t>
            </w:r>
            <w:r>
              <w:rPr>
                <w:rFonts w:eastAsia="DengXian"/>
                <w:lang w:bidi="en-US"/>
              </w:rPr>
              <w:t>© 2023</w:t>
            </w:r>
            <w:r w:rsidRPr="00EB148C">
              <w:rPr>
                <w:rFonts w:eastAsia="DengXian"/>
                <w:lang w:bidi="en-US"/>
              </w:rPr>
              <w:t xml:space="preserve"> </w:t>
            </w:r>
            <w:r>
              <w:rPr>
                <w:rFonts w:eastAsia="DengXian"/>
                <w:lang w:bidi="en-US"/>
              </w:rPr>
              <w:t xml:space="preserve">by the authors. Submitted for possible open access publication under the terms and conditions of the Creative Commons </w:t>
            </w:r>
            <w:r w:rsidRPr="00EB148C">
              <w:rPr>
                <w:rFonts w:eastAsia="DengXian"/>
                <w:lang w:bidi="en-US"/>
              </w:rPr>
              <w:t>Attribution (CC BY) license (</w:t>
            </w:r>
            <w:r>
              <w:rPr>
                <w:rFonts w:eastAsia="DengXian"/>
                <w:lang w:bidi="en-US"/>
              </w:rPr>
              <w:t>https://</w:t>
            </w:r>
            <w:r w:rsidRPr="00EB148C">
              <w:rPr>
                <w:rFonts w:eastAsia="DengXian"/>
                <w:lang w:bidi="en-US"/>
              </w:rPr>
              <w:t>creativecommons.org/licenses/by/4.0/).</w:t>
            </w:r>
          </w:p>
        </w:tc>
      </w:tr>
    </w:tbl>
    <w:p w14:paraId="16A87925" w14:textId="4AD45F08" w:rsidR="00C07039" w:rsidRDefault="006D7CB4" w:rsidP="00C07039">
      <w:pPr>
        <w:pStyle w:val="MDPI21heading1"/>
        <w:rPr>
          <w:lang w:eastAsia="zh-CN"/>
        </w:rPr>
      </w:pPr>
      <w:r>
        <w:rPr>
          <w:lang w:eastAsia="zh-CN"/>
        </w:rPr>
        <w:t>Supplemental Methods</w:t>
      </w:r>
    </w:p>
    <w:p w14:paraId="663B7DE4" w14:textId="7749BE95" w:rsidR="00F540E1" w:rsidRPr="00F540E1" w:rsidRDefault="00141446" w:rsidP="00F540E1">
      <w:pPr>
        <w:spacing w:before="120" w:line="260" w:lineRule="exact"/>
        <w:ind w:left="2610"/>
        <w:rPr>
          <w:rFonts w:asciiTheme="minorHAnsi" w:eastAsiaTheme="minorHAnsi" w:hAnsiTheme="minorHAnsi" w:cstheme="minorBidi"/>
          <w:noProof w:val="0"/>
          <w:color w:val="auto"/>
          <w:lang w:eastAsia="en-US"/>
        </w:rPr>
      </w:pPr>
      <w:r>
        <w:rPr>
          <w:rFonts w:eastAsia="Times New Roman"/>
          <w:lang w:eastAsia="en-US"/>
        </w:rPr>
        <w:drawing>
          <wp:anchor distT="0" distB="0" distL="114300" distR="114300" simplePos="0" relativeHeight="251658240" behindDoc="0" locked="0" layoutInCell="1" allowOverlap="1" wp14:anchorId="6A19C68A" wp14:editId="62CD6C4D">
            <wp:simplePos x="0" y="0"/>
            <wp:positionH relativeFrom="column">
              <wp:posOffset>2293620</wp:posOffset>
            </wp:positionH>
            <wp:positionV relativeFrom="page">
              <wp:posOffset>6751320</wp:posOffset>
            </wp:positionV>
            <wp:extent cx="3401695" cy="2545080"/>
            <wp:effectExtent l="0" t="0" r="8255" b="7620"/>
            <wp:wrapTopAndBottom/>
            <wp:docPr id="102515284" name="Picture 1" descr="A picture containing transparent material, indoor, transparency, soft drin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5284" name="Picture 1" descr="A picture containing transparent material, indoor, transparency, soft drink&#10;&#10;Description automatically generated"/>
                    <pic:cNvPicPr/>
                  </pic:nvPicPr>
                  <pic:blipFill>
                    <a:blip r:embed="rId18"/>
                    <a:stretch>
                      <a:fillRect/>
                    </a:stretch>
                  </pic:blipFill>
                  <pic:spPr>
                    <a:xfrm>
                      <a:off x="0" y="0"/>
                      <a:ext cx="3401695" cy="2545080"/>
                    </a:xfrm>
                    <a:prstGeom prst="rect">
                      <a:avLst/>
                    </a:prstGeom>
                  </pic:spPr>
                </pic:pic>
              </a:graphicData>
            </a:graphic>
            <wp14:sizeRelH relativeFrom="margin">
              <wp14:pctWidth>0</wp14:pctWidth>
            </wp14:sizeRelH>
            <wp14:sizeRelV relativeFrom="margin">
              <wp14:pctHeight>0</wp14:pctHeight>
            </wp14:sizeRelV>
          </wp:anchor>
        </w:drawing>
      </w:r>
      <w:r w:rsidR="00F540E1" w:rsidRPr="00F540E1">
        <w:rPr>
          <w:rFonts w:eastAsiaTheme="minorHAnsi"/>
          <w:i/>
          <w:iCs/>
          <w:noProof w:val="0"/>
          <w:color w:val="auto"/>
          <w:lang w:eastAsia="en-US"/>
        </w:rPr>
        <w:t>Acetylene Reduction Assay</w:t>
      </w:r>
      <w:r w:rsidR="00F540E1" w:rsidRPr="00F540E1">
        <w:rPr>
          <w:rFonts w:eastAsiaTheme="minorHAnsi"/>
          <w:noProof w:val="0"/>
          <w:color w:val="auto"/>
          <w:lang w:eastAsia="en-US"/>
        </w:rPr>
        <w:t xml:space="preserve"> - Calcium carbide (1 g) was placed in a clean and dry 50 mL volume Falcon Tube. The cap to the Falcon Tube was modified to house a Burrell seal port for connecting a 60 mL volume syringe filled with 30 mL DI water and backfilled with 30 mL air for pushing the acetylene out of the Falcon Tube. The cap also held another port for connecting soft silicon rubber tubing connected to the collection bag (Fig. S1). </w:t>
      </w:r>
      <w:r w:rsidR="00F540E1" w:rsidRPr="00F540E1">
        <w:rPr>
          <w:rFonts w:eastAsia="Times New Roman"/>
          <w:noProof w:val="0"/>
          <w:lang w:eastAsia="en-US"/>
        </w:rPr>
        <w:t xml:space="preserve">The pouch also had a silicon rubber septum built in for syringe sampling of the gas.  </w:t>
      </w:r>
    </w:p>
    <w:p w14:paraId="41DF5FF3" w14:textId="29EED4D1" w:rsidR="0039725A" w:rsidRPr="0039725A" w:rsidRDefault="0039725A" w:rsidP="0039725A">
      <w:pPr>
        <w:spacing w:line="260" w:lineRule="exact"/>
        <w:ind w:left="2700"/>
        <w:rPr>
          <w:rFonts w:eastAsiaTheme="minorHAnsi" w:cstheme="minorBidi"/>
          <w:noProof w:val="0"/>
          <w:color w:val="auto"/>
          <w:sz w:val="18"/>
          <w:szCs w:val="18"/>
          <w:lang w:eastAsia="en-US"/>
        </w:rPr>
      </w:pPr>
      <w:r w:rsidRPr="0039725A">
        <w:rPr>
          <w:rFonts w:eastAsiaTheme="minorHAnsi" w:cstheme="minorBidi"/>
          <w:b/>
          <w:bCs/>
          <w:noProof w:val="0"/>
          <w:color w:val="auto"/>
          <w:sz w:val="18"/>
          <w:szCs w:val="18"/>
          <w:lang w:eastAsia="en-US"/>
        </w:rPr>
        <w:t>Figure S1</w:t>
      </w:r>
      <w:r w:rsidRPr="0039725A">
        <w:rPr>
          <w:rFonts w:eastAsiaTheme="minorHAnsi" w:cstheme="minorBidi"/>
          <w:noProof w:val="0"/>
          <w:color w:val="auto"/>
          <w:sz w:val="18"/>
          <w:szCs w:val="18"/>
          <w:lang w:eastAsia="en-US"/>
        </w:rPr>
        <w:t>. Assembly for preparing batches of acetylene gas for the Acetylene Reduction Assay.</w:t>
      </w:r>
    </w:p>
    <w:p w14:paraId="41EC3220" w14:textId="3170B655" w:rsidR="00141446" w:rsidRPr="00141446" w:rsidRDefault="00141446" w:rsidP="00141446">
      <w:pPr>
        <w:spacing w:line="260" w:lineRule="exact"/>
        <w:ind w:left="2610"/>
        <w:rPr>
          <w:rFonts w:eastAsia="Times New Roman"/>
          <w:b/>
          <w:bCs/>
          <w:noProof w:val="0"/>
          <w:sz w:val="16"/>
          <w:szCs w:val="16"/>
          <w:lang w:eastAsia="en-US"/>
        </w:rPr>
      </w:pPr>
    </w:p>
    <w:p w14:paraId="0A2E6492" w14:textId="77777777" w:rsidR="0039725A" w:rsidRDefault="0039725A" w:rsidP="00F540E1">
      <w:pPr>
        <w:spacing w:line="260" w:lineRule="exact"/>
        <w:ind w:left="2610" w:firstLine="720"/>
        <w:rPr>
          <w:rFonts w:eastAsia="Times New Roman"/>
          <w:noProof w:val="0"/>
          <w:lang w:eastAsia="en-US"/>
        </w:rPr>
      </w:pPr>
      <w:r>
        <w:rPr>
          <w:rFonts w:eastAsia="Times New Roman"/>
          <w:noProof w:val="0"/>
          <w:lang w:eastAsia="en-US"/>
        </w:rPr>
        <w:t xml:space="preserve">Roots were harvested and </w:t>
      </w:r>
      <w:r w:rsidR="00F540E1" w:rsidRPr="00F540E1">
        <w:rPr>
          <w:rFonts w:eastAsia="Times New Roman"/>
          <w:noProof w:val="0"/>
          <w:lang w:eastAsia="en-US"/>
        </w:rPr>
        <w:t>sealed inside Mason jar</w:t>
      </w:r>
      <w:r>
        <w:rPr>
          <w:rFonts w:eastAsia="Times New Roman"/>
          <w:noProof w:val="0"/>
          <w:lang w:eastAsia="en-US"/>
        </w:rPr>
        <w:t>s equipped with a sampling port (Fig. S2).</w:t>
      </w:r>
      <w:r w:rsidR="00F540E1" w:rsidRPr="00F540E1">
        <w:rPr>
          <w:rFonts w:eastAsia="Times New Roman"/>
          <w:noProof w:val="0"/>
          <w:lang w:eastAsia="en-US"/>
        </w:rPr>
        <w:t xml:space="preserve"> </w:t>
      </w:r>
      <w:r>
        <w:rPr>
          <w:rFonts w:eastAsia="Times New Roman"/>
          <w:noProof w:val="0"/>
          <w:lang w:eastAsia="en-US"/>
        </w:rPr>
        <w:t>Ac</w:t>
      </w:r>
      <w:r w:rsidR="00F540E1" w:rsidRPr="00F540E1">
        <w:rPr>
          <w:rFonts w:eastAsia="Times New Roman"/>
          <w:noProof w:val="0"/>
          <w:lang w:eastAsia="en-US"/>
        </w:rPr>
        <w:t xml:space="preserve">etylene gas </w:t>
      </w:r>
      <w:r>
        <w:rPr>
          <w:rFonts w:eastAsia="Times New Roman"/>
          <w:noProof w:val="0"/>
          <w:lang w:eastAsia="en-US"/>
        </w:rPr>
        <w:t xml:space="preserve">(10 mL volume </w:t>
      </w:r>
      <w:r w:rsidR="00F540E1" w:rsidRPr="00F540E1">
        <w:rPr>
          <w:rFonts w:eastAsia="Times New Roman"/>
          <w:noProof w:val="0"/>
          <w:lang w:eastAsia="en-US"/>
        </w:rPr>
        <w:t xml:space="preserve">at standard temperature and pressure (STP) </w:t>
      </w:r>
    </w:p>
    <w:p w14:paraId="707139FB" w14:textId="19251C43" w:rsidR="0039725A" w:rsidRDefault="00D0499D" w:rsidP="0039725A">
      <w:pPr>
        <w:spacing w:line="260" w:lineRule="exact"/>
        <w:ind w:left="2610"/>
        <w:rPr>
          <w:sz w:val="18"/>
          <w:szCs w:val="18"/>
        </w:rPr>
      </w:pPr>
      <w:r>
        <w:rPr>
          <w:rFonts w:eastAsiaTheme="minorHAnsi"/>
          <w:color w:val="auto"/>
          <w:lang w:eastAsia="en-US"/>
        </w:rPr>
        <w:lastRenderedPageBreak/>
        <w:drawing>
          <wp:anchor distT="0" distB="0" distL="114300" distR="114300" simplePos="0" relativeHeight="251659264" behindDoc="0" locked="0" layoutInCell="1" allowOverlap="1" wp14:anchorId="36AB1455" wp14:editId="7DCFB3AF">
            <wp:simplePos x="0" y="0"/>
            <wp:positionH relativeFrom="column">
              <wp:posOffset>3200400</wp:posOffset>
            </wp:positionH>
            <wp:positionV relativeFrom="page">
              <wp:posOffset>1112520</wp:posOffset>
            </wp:positionV>
            <wp:extent cx="1478280" cy="4240530"/>
            <wp:effectExtent l="0" t="0" r="7620" b="7620"/>
            <wp:wrapTopAndBottom/>
            <wp:docPr id="827158091" name="Picture 2" descr="A picture containing candle, jar, mason jar, food storage contain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158091" name="Picture 2" descr="A picture containing candle, jar, mason jar, food storage containers&#10;&#10;Description automatically generated"/>
                    <pic:cNvPicPr/>
                  </pic:nvPicPr>
                  <pic:blipFill>
                    <a:blip r:embed="rId19"/>
                    <a:stretch>
                      <a:fillRect/>
                    </a:stretch>
                  </pic:blipFill>
                  <pic:spPr>
                    <a:xfrm>
                      <a:off x="0" y="0"/>
                      <a:ext cx="1478280" cy="4240530"/>
                    </a:xfrm>
                    <a:prstGeom prst="rect">
                      <a:avLst/>
                    </a:prstGeom>
                  </pic:spPr>
                </pic:pic>
              </a:graphicData>
            </a:graphic>
            <wp14:sizeRelH relativeFrom="margin">
              <wp14:pctWidth>0</wp14:pctWidth>
            </wp14:sizeRelH>
            <wp14:sizeRelV relativeFrom="margin">
              <wp14:pctHeight>0</wp14:pctHeight>
            </wp14:sizeRelV>
          </wp:anchor>
        </w:drawing>
      </w:r>
      <w:r w:rsidR="0039725A" w:rsidRPr="0039725A">
        <w:rPr>
          <w:rFonts w:eastAsia="Times New Roman"/>
          <w:b/>
          <w:bCs/>
          <w:noProof w:val="0"/>
          <w:sz w:val="18"/>
          <w:szCs w:val="18"/>
          <w:lang w:eastAsia="en-US"/>
        </w:rPr>
        <w:t xml:space="preserve">Figure S2. </w:t>
      </w:r>
      <w:r w:rsidRPr="00511134">
        <w:rPr>
          <w:sz w:val="18"/>
          <w:szCs w:val="18"/>
        </w:rPr>
        <w:t xml:space="preserve">Sample collection jar containing maize roots inoculated with </w:t>
      </w:r>
      <w:r w:rsidRPr="00511134">
        <w:rPr>
          <w:i/>
          <w:iCs/>
          <w:sz w:val="18"/>
          <w:szCs w:val="18"/>
        </w:rPr>
        <w:t>A. brasilense</w:t>
      </w:r>
      <w:r w:rsidRPr="00511134">
        <w:rPr>
          <w:sz w:val="18"/>
          <w:szCs w:val="18"/>
        </w:rPr>
        <w:t xml:space="preserve"> bacteria.</w:t>
      </w:r>
    </w:p>
    <w:p w14:paraId="0F56EADD" w14:textId="77777777" w:rsidR="00D0499D" w:rsidRPr="0039725A" w:rsidRDefault="00D0499D" w:rsidP="0039725A">
      <w:pPr>
        <w:spacing w:line="260" w:lineRule="exact"/>
        <w:ind w:left="2610"/>
        <w:rPr>
          <w:rFonts w:eastAsia="Times New Roman"/>
          <w:b/>
          <w:bCs/>
          <w:noProof w:val="0"/>
          <w:sz w:val="18"/>
          <w:szCs w:val="18"/>
          <w:lang w:eastAsia="en-US"/>
        </w:rPr>
      </w:pPr>
    </w:p>
    <w:p w14:paraId="71E5C6BD" w14:textId="6916576F" w:rsidR="00F540E1" w:rsidRDefault="00F540E1" w:rsidP="0039725A">
      <w:pPr>
        <w:spacing w:line="260" w:lineRule="exact"/>
        <w:ind w:left="2610"/>
        <w:rPr>
          <w:rFonts w:eastAsiaTheme="minorHAnsi"/>
          <w:noProof w:val="0"/>
          <w:color w:val="auto"/>
          <w:lang w:eastAsia="en-US"/>
        </w:rPr>
      </w:pPr>
      <w:r w:rsidRPr="00F540E1">
        <w:rPr>
          <w:rFonts w:eastAsia="Times New Roman"/>
          <w:noProof w:val="0"/>
          <w:lang w:eastAsia="en-US"/>
        </w:rPr>
        <w:t>was withdrawn from the plastic pouch using a gas tight syringe and injected into the Mason jar through the inlet port. A syringe needle was temporarily placed in the other port to vent the jar of excess pressure. Samples (</w:t>
      </w:r>
      <w:r w:rsidRPr="00F540E1">
        <w:rPr>
          <w:rFonts w:eastAsiaTheme="minorHAnsi"/>
          <w:noProof w:val="0"/>
          <w:color w:val="auto"/>
          <w:lang w:eastAsia="en-US"/>
        </w:rPr>
        <w:t>0.1 mL) were removed at different incubation times for analysis of ethylene production using gas chromatography.</w:t>
      </w:r>
    </w:p>
    <w:p w14:paraId="170642AA" w14:textId="009718AD" w:rsidR="00F540E1" w:rsidRPr="00F540E1" w:rsidRDefault="00F540E1" w:rsidP="00F540E1">
      <w:pPr>
        <w:spacing w:line="260" w:lineRule="exact"/>
        <w:ind w:left="2610" w:firstLine="720"/>
        <w:rPr>
          <w:rFonts w:eastAsiaTheme="minorHAnsi"/>
          <w:noProof w:val="0"/>
          <w:color w:val="000000" w:themeColor="text1"/>
          <w:lang w:eastAsia="en-US"/>
        </w:rPr>
      </w:pPr>
      <w:r w:rsidRPr="00F540E1">
        <w:rPr>
          <w:rFonts w:eastAsiaTheme="minorHAnsi"/>
          <w:noProof w:val="0"/>
          <w:color w:val="auto"/>
          <w:lang w:eastAsia="en-US"/>
        </w:rPr>
        <w:t xml:space="preserve">Gas chromatography analysis was performed using </w:t>
      </w:r>
      <w:r w:rsidRPr="00F540E1">
        <w:rPr>
          <w:rFonts w:eastAsiaTheme="minorHAnsi"/>
          <w:noProof w:val="0"/>
          <w:color w:val="000000" w:themeColor="text1"/>
          <w:lang w:eastAsia="en-US"/>
        </w:rPr>
        <w:t>a Hewlett Packard 5890A gas chromatograph equipped with a 2-m long, 1-mm inner diameter ShinCarbon ST packed column and flame ionization detector. Conditions included the following: column temperature, 2-min hold at 40 °C then programmed to 250 °C at 10 °C min</w:t>
      </w:r>
      <w:r w:rsidRPr="00F540E1">
        <w:rPr>
          <w:rFonts w:eastAsiaTheme="minorHAnsi"/>
          <w:noProof w:val="0"/>
          <w:color w:val="000000" w:themeColor="text1"/>
          <w:vertAlign w:val="superscript"/>
          <w:lang w:eastAsia="en-US"/>
        </w:rPr>
        <w:t>-1</w:t>
      </w:r>
      <w:r w:rsidRPr="00F540E1">
        <w:rPr>
          <w:rFonts w:eastAsiaTheme="minorHAnsi"/>
          <w:noProof w:val="0"/>
          <w:color w:val="000000" w:themeColor="text1"/>
          <w:lang w:eastAsia="en-US"/>
        </w:rPr>
        <w:t>; injector temperature, 250 °C; flame ionization detector temperature, 300 °C. Chromatographic peaks for ethylene were measured using PeakSimple</w:t>
      </w:r>
      <w:r w:rsidRPr="00F540E1">
        <w:rPr>
          <w:rFonts w:eastAsiaTheme="minorHAnsi"/>
          <w:noProof w:val="0"/>
          <w:color w:val="000000" w:themeColor="text1"/>
          <w:lang w:eastAsia="en-US"/>
        </w:rPr>
        <w:sym w:font="Symbol" w:char="F0D4"/>
      </w:r>
      <w:r w:rsidRPr="00F540E1">
        <w:rPr>
          <w:rFonts w:eastAsiaTheme="minorHAnsi"/>
          <w:noProof w:val="0"/>
          <w:color w:val="000000" w:themeColor="text1"/>
          <w:lang w:eastAsia="en-US"/>
        </w:rPr>
        <w:t xml:space="preserve"> chromatography software (v4.95: SRI Instruments, Inc., Torrance, CA, USA) and quantified against ethylene standards. </w:t>
      </w:r>
    </w:p>
    <w:p w14:paraId="713448A8" w14:textId="77777777" w:rsidR="00D0499D" w:rsidRDefault="00F540E1" w:rsidP="00D0499D">
      <w:pPr>
        <w:spacing w:before="120" w:line="260" w:lineRule="exact"/>
        <w:ind w:left="2610"/>
        <w:rPr>
          <w:rFonts w:eastAsiaTheme="minorHAnsi"/>
          <w:iCs/>
          <w:noProof w:val="0"/>
          <w:color w:val="auto"/>
          <w:lang w:eastAsia="en-US"/>
        </w:rPr>
      </w:pPr>
      <w:r w:rsidRPr="00F540E1">
        <w:rPr>
          <w:rFonts w:eastAsiaTheme="minorHAnsi" w:cstheme="minorBidi"/>
          <w:i/>
          <w:color w:val="auto"/>
          <w:lang w:eastAsia="en-US"/>
        </w:rPr>
        <w:t xml:space="preserve">Drop Plate Assay </w:t>
      </w:r>
      <w:r w:rsidRPr="00F540E1">
        <w:rPr>
          <w:rFonts w:eastAsiaTheme="minorHAnsi"/>
          <w:i/>
          <w:noProof w:val="0"/>
          <w:color w:val="auto"/>
          <w:lang w:eastAsia="en-US"/>
        </w:rPr>
        <w:t>-</w:t>
      </w:r>
      <w:r w:rsidRPr="00F540E1">
        <w:rPr>
          <w:rFonts w:asciiTheme="minorHAnsi" w:eastAsiaTheme="minorHAnsi" w:hAnsiTheme="minorHAnsi" w:cstheme="minorBidi"/>
          <w:noProof w:val="0"/>
          <w:color w:val="auto"/>
          <w:lang w:eastAsia="en-US"/>
        </w:rPr>
        <w:t xml:space="preserve"> </w:t>
      </w:r>
      <w:r w:rsidRPr="00F540E1">
        <w:rPr>
          <w:rFonts w:eastAsiaTheme="minorHAnsi"/>
          <w:iCs/>
          <w:noProof w:val="0"/>
          <w:color w:val="auto"/>
          <w:lang w:eastAsia="en-US"/>
        </w:rPr>
        <w:t>Bacterial quantifications were performed concurrently with ARAs to normalize ethylene data to microbial content. Roots were harvested from the growth media and rinsed in DI water. Two separate 3-cm sections of roots were taken from each plant and weighed (approximately 100-300 mg total). The sample was ground with mortar and pestle in 1 mL of 1% saline. Five serial dilutions were conducted: the first with 100 µL of the ground extract into 900 µL of 1% saline and each subsequent dilution being 100 µL of the previous dilution into 900 µL of 1% saline. Each serial dilution was plated in triplicate by 10 µL drops onto agar plates fortified with lactate growth media and incubated at 30 °C for 48-hr before counting. The dilution that contained 3-40 colony forming units (CFU) per 10 µL drop was counted and used to perform calculations of microbial colonization.</w:t>
      </w:r>
    </w:p>
    <w:p w14:paraId="012942AF" w14:textId="77777777" w:rsidR="00D0499D" w:rsidRDefault="00D0499D" w:rsidP="00D0499D">
      <w:pPr>
        <w:spacing w:before="120" w:line="260" w:lineRule="exact"/>
        <w:ind w:left="2610"/>
        <w:rPr>
          <w:rFonts w:eastAsiaTheme="minorHAnsi"/>
          <w:noProof w:val="0"/>
          <w:color w:val="auto"/>
          <w:lang w:eastAsia="en-US"/>
        </w:rPr>
      </w:pPr>
      <w:r>
        <w:rPr>
          <w:rFonts w:eastAsiaTheme="minorHAnsi"/>
          <w:color w:val="auto"/>
          <w:lang w:eastAsia="en-US"/>
        </w:rPr>
        <w:lastRenderedPageBreak/>
        <w:drawing>
          <wp:anchor distT="0" distB="0" distL="114300" distR="114300" simplePos="0" relativeHeight="251660288" behindDoc="0" locked="0" layoutInCell="1" allowOverlap="1" wp14:anchorId="3C571345" wp14:editId="5566EA4C">
            <wp:simplePos x="0" y="0"/>
            <wp:positionH relativeFrom="margin">
              <wp:posOffset>1691640</wp:posOffset>
            </wp:positionH>
            <wp:positionV relativeFrom="page">
              <wp:posOffset>3048000</wp:posOffset>
            </wp:positionV>
            <wp:extent cx="4892040" cy="3717925"/>
            <wp:effectExtent l="0" t="0" r="3810" b="0"/>
            <wp:wrapTopAndBottom/>
            <wp:docPr id="1831093118" name="Picture 3" descr="A picture containing text, diagram, screenshot,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093118" name="Picture 3" descr="A picture containing text, diagram, screenshot, design&#10;&#10;Description automatically generated"/>
                    <pic:cNvPicPr/>
                  </pic:nvPicPr>
                  <pic:blipFill>
                    <a:blip r:embed="rId20"/>
                    <a:stretch>
                      <a:fillRect/>
                    </a:stretch>
                  </pic:blipFill>
                  <pic:spPr>
                    <a:xfrm>
                      <a:off x="0" y="0"/>
                      <a:ext cx="4892040" cy="3717925"/>
                    </a:xfrm>
                    <a:prstGeom prst="rect">
                      <a:avLst/>
                    </a:prstGeom>
                  </pic:spPr>
                </pic:pic>
              </a:graphicData>
            </a:graphic>
            <wp14:sizeRelH relativeFrom="margin">
              <wp14:pctWidth>0</wp14:pctWidth>
            </wp14:sizeRelH>
            <wp14:sizeRelV relativeFrom="margin">
              <wp14:pctHeight>0</wp14:pctHeight>
            </wp14:sizeRelV>
          </wp:anchor>
        </w:drawing>
      </w:r>
      <w:r w:rsidR="00F540E1" w:rsidRPr="00F540E1">
        <w:rPr>
          <w:rFonts w:eastAsiaTheme="minorHAnsi"/>
          <w:i/>
          <w:iCs/>
          <w:noProof w:val="0"/>
          <w:color w:val="auto"/>
          <w:lang w:eastAsia="en-US"/>
        </w:rPr>
        <w:t>Ion Chromatography</w:t>
      </w:r>
      <w:r w:rsidR="00F540E1" w:rsidRPr="00F540E1">
        <w:rPr>
          <w:rFonts w:eastAsiaTheme="minorHAnsi"/>
          <w:noProof w:val="0"/>
          <w:color w:val="auto"/>
          <w:lang w:eastAsia="en-US"/>
        </w:rPr>
        <w:t xml:space="preserve"> - The ion chromatography analytical system </w:t>
      </w:r>
      <w:r>
        <w:rPr>
          <w:rFonts w:eastAsiaTheme="minorHAnsi"/>
          <w:noProof w:val="0"/>
          <w:color w:val="auto"/>
          <w:lang w:eastAsia="en-US"/>
        </w:rPr>
        <w:t xml:space="preserve">(Fig. S4) </w:t>
      </w:r>
      <w:r w:rsidR="00F540E1" w:rsidRPr="00F540E1">
        <w:rPr>
          <w:rFonts w:eastAsiaTheme="minorHAnsi"/>
          <w:noProof w:val="0"/>
          <w:color w:val="auto"/>
          <w:lang w:eastAsia="en-US"/>
        </w:rPr>
        <w:t>consisted of a Thermo Scientific Dionex AXP Metal-Free HPLC with a Rheodyne metal-free injector and PEEK tubing 1/20 cm inner diameter. The ion chromatography column was a Dionex™ IonPac CS5A column (ThermoFisher Scientific, Inc., Waltham, MA, USA) measuring 4 mm i.d. × 250 mm for the analytical column, and 4 mm i.d. × 40 mm for the CG5A guard column designed to separate a broad range of metal complexes by cation and anion chromatography. The mobile phase consisted of 7 mM pyridine-2,6-dicarboxylic acid, 66 mM potassium sulfate, and 74 mM formic acid pH 4.2 run at a flow rate of 1.2 mL min</w:t>
      </w:r>
      <w:r w:rsidR="00F540E1" w:rsidRPr="00F540E1">
        <w:rPr>
          <w:rFonts w:eastAsiaTheme="minorHAnsi"/>
          <w:noProof w:val="0"/>
          <w:color w:val="auto"/>
          <w:vertAlign w:val="superscript"/>
          <w:lang w:eastAsia="en-US"/>
        </w:rPr>
        <w:t>−1</w:t>
      </w:r>
      <w:r w:rsidR="00F540E1" w:rsidRPr="00F540E1">
        <w:rPr>
          <w:rFonts w:eastAsiaTheme="minorHAnsi"/>
          <w:noProof w:val="0"/>
          <w:color w:val="auto"/>
          <w:lang w:eastAsia="en-US"/>
        </w:rPr>
        <w:t xml:space="preserve">. A post column reagent comprising 0.025 mM luminol and 50 mM sodium bicarbonate pH 10.4 at a flow rate of approximately 0.6 mL </w:t>
      </w:r>
      <w:proofErr w:type="gramStart"/>
      <w:r w:rsidR="00F540E1" w:rsidRPr="00F540E1">
        <w:rPr>
          <w:rFonts w:eastAsiaTheme="minorHAnsi"/>
          <w:noProof w:val="0"/>
          <w:color w:val="auto"/>
          <w:lang w:eastAsia="en-US"/>
        </w:rPr>
        <w:t>min</w:t>
      </w:r>
      <w:r w:rsidR="00F540E1" w:rsidRPr="00F540E1">
        <w:rPr>
          <w:rFonts w:eastAsiaTheme="minorHAnsi"/>
          <w:noProof w:val="0"/>
          <w:color w:val="auto"/>
          <w:vertAlign w:val="superscript"/>
          <w:lang w:eastAsia="en-US"/>
        </w:rPr>
        <w:t>−1</w:t>
      </w:r>
      <w:proofErr w:type="gramEnd"/>
      <w:r w:rsidR="00F540E1" w:rsidRPr="00F540E1">
        <w:rPr>
          <w:rFonts w:eastAsiaTheme="minorHAnsi"/>
          <w:noProof w:val="0"/>
          <w:color w:val="auto"/>
          <w:lang w:eastAsia="en-US"/>
        </w:rPr>
        <w:t xml:space="preserve">. This was mixed downstream with hydrogen peroxide (3% solution) with sodium hypochlorite as a catalyst. Detection was made </w:t>
      </w:r>
      <w:proofErr w:type="gramStart"/>
      <w:r w:rsidR="00F540E1" w:rsidRPr="00F540E1">
        <w:rPr>
          <w:rFonts w:eastAsiaTheme="minorHAnsi"/>
          <w:noProof w:val="0"/>
          <w:color w:val="auto"/>
          <w:lang w:eastAsia="en-US"/>
        </w:rPr>
        <w:t>by</w:t>
      </w:r>
      <w:proofErr w:type="gramEnd"/>
      <w:r w:rsidR="00F540E1" w:rsidRPr="00F540E1">
        <w:rPr>
          <w:rFonts w:eastAsiaTheme="minorHAnsi"/>
          <w:noProof w:val="0"/>
          <w:color w:val="auto"/>
          <w:lang w:eastAsia="en-US"/>
        </w:rPr>
        <w:t xml:space="preserve"> </w:t>
      </w:r>
    </w:p>
    <w:p w14:paraId="38C65CDD" w14:textId="77777777" w:rsidR="00D0499D" w:rsidRPr="00D0499D" w:rsidRDefault="00D0499D" w:rsidP="00D0499D">
      <w:pPr>
        <w:spacing w:line="260" w:lineRule="exact"/>
        <w:ind w:left="2606"/>
        <w:rPr>
          <w:rFonts w:eastAsiaTheme="minorHAnsi"/>
          <w:b/>
          <w:bCs/>
          <w:noProof w:val="0"/>
          <w:color w:val="auto"/>
          <w:sz w:val="18"/>
          <w:szCs w:val="18"/>
          <w:lang w:eastAsia="en-US"/>
        </w:rPr>
      </w:pPr>
      <w:r w:rsidRPr="00D0499D">
        <w:rPr>
          <w:rFonts w:eastAsiaTheme="minorHAnsi"/>
          <w:b/>
          <w:bCs/>
          <w:noProof w:val="0"/>
          <w:color w:val="auto"/>
          <w:sz w:val="18"/>
          <w:szCs w:val="18"/>
          <w:lang w:eastAsia="en-US"/>
        </w:rPr>
        <w:t xml:space="preserve">Figure S3. </w:t>
      </w:r>
      <w:r w:rsidRPr="00511134">
        <w:rPr>
          <w:sz w:val="18"/>
          <w:szCs w:val="18"/>
        </w:rPr>
        <w:t xml:space="preserve">Ion chromatography station used to separate microbial </w:t>
      </w:r>
      <w:r w:rsidRPr="00511134">
        <w:rPr>
          <w:sz w:val="18"/>
          <w:szCs w:val="18"/>
          <w:vertAlign w:val="superscript"/>
        </w:rPr>
        <w:t>59</w:t>
      </w:r>
      <w:r w:rsidRPr="00511134">
        <w:rPr>
          <w:sz w:val="18"/>
          <w:szCs w:val="18"/>
        </w:rPr>
        <w:t>Fe</w:t>
      </w:r>
      <w:r w:rsidRPr="00511134">
        <w:rPr>
          <w:sz w:val="18"/>
          <w:szCs w:val="18"/>
          <w:vertAlign w:val="superscript"/>
        </w:rPr>
        <w:t>3+</w:t>
      </w:r>
      <w:r w:rsidRPr="00511134">
        <w:rPr>
          <w:sz w:val="18"/>
          <w:szCs w:val="18"/>
        </w:rPr>
        <w:t xml:space="preserve"> and </w:t>
      </w:r>
      <w:r w:rsidRPr="00511134">
        <w:rPr>
          <w:sz w:val="18"/>
          <w:szCs w:val="18"/>
          <w:vertAlign w:val="superscript"/>
        </w:rPr>
        <w:t>59</w:t>
      </w:r>
      <w:r w:rsidRPr="00511134">
        <w:rPr>
          <w:sz w:val="18"/>
          <w:szCs w:val="18"/>
        </w:rPr>
        <w:t>Fe</w:t>
      </w:r>
      <w:r w:rsidRPr="00511134">
        <w:rPr>
          <w:sz w:val="18"/>
          <w:szCs w:val="18"/>
          <w:vertAlign w:val="superscript"/>
        </w:rPr>
        <w:t>2+</w:t>
      </w:r>
      <w:r w:rsidRPr="00511134">
        <w:rPr>
          <w:sz w:val="18"/>
          <w:szCs w:val="18"/>
        </w:rPr>
        <w:t xml:space="preserve"> after radiotracer assimilation.</w:t>
      </w:r>
    </w:p>
    <w:p w14:paraId="3D2C1C96" w14:textId="09B7A0CA" w:rsidR="00141446" w:rsidRDefault="00F540E1" w:rsidP="00D0499D">
      <w:pPr>
        <w:spacing w:before="120" w:line="260" w:lineRule="exact"/>
        <w:ind w:left="2610"/>
        <w:rPr>
          <w:rFonts w:eastAsiaTheme="minorHAnsi"/>
          <w:noProof w:val="0"/>
          <w:color w:val="auto"/>
          <w:lang w:eastAsia="en-US"/>
        </w:rPr>
      </w:pPr>
      <w:r w:rsidRPr="00F540E1">
        <w:rPr>
          <w:rFonts w:eastAsiaTheme="minorHAnsi"/>
          <w:noProof w:val="0"/>
          <w:color w:val="auto"/>
          <w:lang w:eastAsia="en-US"/>
        </w:rPr>
        <w:t xml:space="preserve">chemiluminescence using a HERM LB 500 fluorodetector (Berthold GmbH &amp; Co., KG, Germany). Sterile water (HyPure™ WFI Quality Water, HyClone Laboratories, Logan, UT, USA) was used in solvent preparation. </w:t>
      </w:r>
    </w:p>
    <w:p w14:paraId="26CDC50B" w14:textId="77777777" w:rsidR="00141446" w:rsidRDefault="00F540E1" w:rsidP="00141446">
      <w:pPr>
        <w:spacing w:before="120" w:line="260" w:lineRule="exact"/>
        <w:ind w:left="2610"/>
        <w:rPr>
          <w:rFonts w:eastAsiaTheme="minorHAnsi" w:cstheme="minorBidi"/>
          <w:noProof w:val="0"/>
          <w:color w:val="auto"/>
          <w:kern w:val="2"/>
          <w:lang w:eastAsia="en-US"/>
          <w14:ligatures w14:val="standardContextual"/>
        </w:rPr>
      </w:pPr>
      <w:r w:rsidRPr="00F540E1">
        <w:rPr>
          <w:rFonts w:eastAsiaTheme="minorHAnsi" w:cstheme="minorBidi"/>
          <w:i/>
          <w:iCs/>
          <w:noProof w:val="0"/>
          <w:color w:val="auto"/>
          <w:kern w:val="2"/>
          <w:lang w:eastAsia="en-US"/>
          <w14:ligatures w14:val="standardContextual"/>
        </w:rPr>
        <w:t>ATP Assay by the Luciferase Method</w:t>
      </w:r>
      <w:r w:rsidRPr="00F540E1">
        <w:rPr>
          <w:rFonts w:eastAsiaTheme="minorHAnsi" w:cstheme="minorBidi"/>
          <w:noProof w:val="0"/>
          <w:color w:val="auto"/>
          <w:kern w:val="2"/>
          <w:lang w:eastAsia="en-US"/>
          <w14:ligatures w14:val="standardContextual"/>
        </w:rPr>
        <w:t xml:space="preserve"> - Bacteria cultures were collected, centrifuged and supernatant separated from the cell pellet. After re-centrifugation 100 µL of the supernatant was mixed with an equal volume of BacTiter-Glo™ Microbial Cell Viability Assay Reagent in a 24-well plate and incubated at room temperature for 5 min. After incubation, luminescence was read using a Typhoon 9000 Imager (</w:t>
      </w:r>
      <w:r w:rsidRPr="00F540E1">
        <w:rPr>
          <w:rFonts w:eastAsiaTheme="minorHAnsi" w:cstheme="minorBidi"/>
          <w:noProof w:val="0"/>
          <w:color w:val="auto"/>
          <w:lang w:eastAsia="en-US"/>
        </w:rPr>
        <w:t>imager (Typhoon</w:t>
      </w:r>
      <w:r w:rsidRPr="00F540E1">
        <w:rPr>
          <w:rFonts w:eastAsiaTheme="minorHAnsi" w:cstheme="minorBidi"/>
          <w:noProof w:val="0"/>
          <w:color w:val="auto"/>
          <w:lang w:eastAsia="en-US"/>
        </w:rPr>
        <w:sym w:font="Symbol" w:char="F0D4"/>
      </w:r>
      <w:r w:rsidRPr="00F540E1">
        <w:rPr>
          <w:rFonts w:eastAsiaTheme="minorHAnsi" w:cstheme="minorBidi"/>
          <w:noProof w:val="0"/>
          <w:color w:val="auto"/>
          <w:lang w:eastAsia="en-US"/>
        </w:rPr>
        <w:t xml:space="preserve"> FLA 9000, GE Healthcare, Piscataway, NJ, USA). Bioluminescence for each well was quantified using ImageQuant TL 7.0 software (GE Healthcare, Piscataway, NJ, USA) </w:t>
      </w:r>
      <w:r w:rsidRPr="00F540E1">
        <w:rPr>
          <w:rFonts w:eastAsiaTheme="minorHAnsi" w:cstheme="minorBidi"/>
          <w:noProof w:val="0"/>
          <w:color w:val="auto"/>
          <w:kern w:val="2"/>
          <w:lang w:eastAsia="en-US"/>
          <w14:ligatures w14:val="standardContextual"/>
        </w:rPr>
        <w:t>configured for chemiluminescence mode (Fig. S4).  ATP standard solutions were prepared using adenosine 5-triphosphate disodium salt hydrate (Sigma Aldrich, St. Louis, MO, USA) and mixed with equal volumes of the BacTiter-Glo™ Microbial Cell Viability Assay Reagent for calibrating each plate.</w:t>
      </w:r>
    </w:p>
    <w:p w14:paraId="3F386FD5" w14:textId="77777777" w:rsidR="00D0499D" w:rsidRDefault="00F540E1" w:rsidP="00141446">
      <w:pPr>
        <w:spacing w:before="120" w:line="260" w:lineRule="exact"/>
        <w:ind w:left="2610"/>
        <w:rPr>
          <w:rFonts w:eastAsiaTheme="minorHAnsi" w:cstheme="minorBidi"/>
          <w:noProof w:val="0"/>
          <w:color w:val="333333"/>
          <w:shd w:val="clear" w:color="auto" w:fill="FCFCFC"/>
          <w:lang w:eastAsia="en-US"/>
        </w:rPr>
      </w:pPr>
      <w:r w:rsidRPr="00F540E1">
        <w:rPr>
          <w:rFonts w:eastAsiaTheme="minorHAnsi" w:cstheme="minorBidi"/>
          <w:i/>
          <w:iCs/>
          <w:noProof w:val="0"/>
          <w:color w:val="auto"/>
          <w:lang w:eastAsia="en-US"/>
        </w:rPr>
        <w:t xml:space="preserve">Spectrophotometric Auxin Assay </w:t>
      </w:r>
      <w:r w:rsidRPr="00F540E1">
        <w:rPr>
          <w:rFonts w:eastAsiaTheme="minorHAnsi" w:cstheme="minorBidi"/>
          <w:noProof w:val="0"/>
          <w:color w:val="auto"/>
          <w:lang w:eastAsia="en-US"/>
        </w:rPr>
        <w:t xml:space="preserve">- </w:t>
      </w:r>
      <w:r w:rsidRPr="00F540E1">
        <w:rPr>
          <w:rFonts w:eastAsiaTheme="minorHAnsi" w:cstheme="minorBidi"/>
          <w:noProof w:val="0"/>
          <w:color w:val="333333"/>
          <w:shd w:val="clear" w:color="auto" w:fill="FCFCFC"/>
          <w:lang w:eastAsia="en-US"/>
        </w:rPr>
        <w:t xml:space="preserve">In adapting the colorimetric assay for auxin using the Salkowski reagent (Fig. S5), we applied tryptophan challenges to raise microbial auxin </w:t>
      </w:r>
      <w:r w:rsidRPr="00F540E1">
        <w:rPr>
          <w:rFonts w:eastAsiaTheme="minorHAnsi" w:cstheme="minorBidi"/>
          <w:noProof w:val="0"/>
          <w:color w:val="333333"/>
          <w:shd w:val="clear" w:color="auto" w:fill="FCFCFC"/>
          <w:lang w:eastAsia="en-US"/>
        </w:rPr>
        <w:lastRenderedPageBreak/>
        <w:t>biosynthesis as a test of performance. The Salkowski reagent was prepared by diluting 1 mL of 0.5 M FeCl</w:t>
      </w:r>
      <w:r w:rsidRPr="00F540E1">
        <w:rPr>
          <w:rFonts w:eastAsiaTheme="minorHAnsi" w:cstheme="minorBidi"/>
          <w:noProof w:val="0"/>
          <w:color w:val="333333"/>
          <w:shd w:val="clear" w:color="auto" w:fill="FCFCFC"/>
          <w:vertAlign w:val="subscript"/>
          <w:lang w:eastAsia="en-US"/>
        </w:rPr>
        <w:t>3</w:t>
      </w:r>
      <w:r w:rsidRPr="00F540E1">
        <w:rPr>
          <w:rFonts w:eastAsiaTheme="minorHAnsi" w:cstheme="minorBidi"/>
          <w:noProof w:val="0"/>
          <w:color w:val="333333"/>
          <w:shd w:val="clear" w:color="auto" w:fill="FCFCFC"/>
          <w:lang w:eastAsia="en-US"/>
        </w:rPr>
        <w:t> and 24.5 mL of 70% perchloric acid in 24.5 mL distilled H</w:t>
      </w:r>
      <w:r w:rsidRPr="00F540E1">
        <w:rPr>
          <w:rFonts w:eastAsiaTheme="minorHAnsi" w:cstheme="minorBidi"/>
          <w:noProof w:val="0"/>
          <w:color w:val="333333"/>
          <w:shd w:val="clear" w:color="auto" w:fill="FCFCFC"/>
          <w:vertAlign w:val="subscript"/>
          <w:lang w:eastAsia="en-US"/>
        </w:rPr>
        <w:t>2</w:t>
      </w:r>
      <w:r w:rsidRPr="00F540E1">
        <w:rPr>
          <w:rFonts w:eastAsiaTheme="minorHAnsi" w:cstheme="minorBidi"/>
          <w:noProof w:val="0"/>
          <w:color w:val="333333"/>
          <w:shd w:val="clear" w:color="auto" w:fill="FCFCFC"/>
          <w:lang w:eastAsia="en-US"/>
        </w:rPr>
        <w:t xml:space="preserve">O to make a </w:t>
      </w:r>
      <w:r w:rsidR="00D0499D">
        <w:rPr>
          <w:rFonts w:eastAsiaTheme="minorHAnsi" w:cstheme="minorBidi"/>
          <w:color w:val="333333"/>
          <w:shd w:val="clear" w:color="auto" w:fill="FCFCFC"/>
          <w:lang w:eastAsia="en-US"/>
        </w:rPr>
        <w:drawing>
          <wp:anchor distT="0" distB="0" distL="114300" distR="114300" simplePos="0" relativeHeight="251661312" behindDoc="0" locked="0" layoutInCell="1" allowOverlap="1" wp14:anchorId="57396D38" wp14:editId="3C9488F3">
            <wp:simplePos x="0" y="0"/>
            <wp:positionH relativeFrom="column">
              <wp:posOffset>1653540</wp:posOffset>
            </wp:positionH>
            <wp:positionV relativeFrom="page">
              <wp:posOffset>1775460</wp:posOffset>
            </wp:positionV>
            <wp:extent cx="4966335" cy="3147060"/>
            <wp:effectExtent l="0" t="0" r="5715" b="0"/>
            <wp:wrapTopAndBottom/>
            <wp:docPr id="1793903149" name="Picture 4" descr="A picture containing screenshot, text, space, univer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03149" name="Picture 4" descr="A picture containing screenshot, text, space, universe&#10;&#10;Description automatically generated"/>
                    <pic:cNvPicPr/>
                  </pic:nvPicPr>
                  <pic:blipFill>
                    <a:blip r:embed="rId21"/>
                    <a:stretch>
                      <a:fillRect/>
                    </a:stretch>
                  </pic:blipFill>
                  <pic:spPr>
                    <a:xfrm>
                      <a:off x="0" y="0"/>
                      <a:ext cx="4966335" cy="3147060"/>
                    </a:xfrm>
                    <a:prstGeom prst="rect">
                      <a:avLst/>
                    </a:prstGeom>
                  </pic:spPr>
                </pic:pic>
              </a:graphicData>
            </a:graphic>
            <wp14:sizeRelH relativeFrom="margin">
              <wp14:pctWidth>0</wp14:pctWidth>
            </wp14:sizeRelH>
            <wp14:sizeRelV relativeFrom="margin">
              <wp14:pctHeight>0</wp14:pctHeight>
            </wp14:sizeRelV>
          </wp:anchor>
        </w:drawing>
      </w:r>
      <w:r w:rsidRPr="00F540E1">
        <w:rPr>
          <w:rFonts w:eastAsiaTheme="minorHAnsi" w:cstheme="minorBidi"/>
          <w:noProof w:val="0"/>
          <w:color w:val="333333"/>
          <w:shd w:val="clear" w:color="auto" w:fill="FCFCFC"/>
          <w:lang w:eastAsia="en-US"/>
        </w:rPr>
        <w:t xml:space="preserve">final concentration of 10 mM and 35%, respectively. Sample absorbances were </w:t>
      </w:r>
      <w:proofErr w:type="gramStart"/>
      <w:r w:rsidRPr="00F540E1">
        <w:rPr>
          <w:rFonts w:eastAsiaTheme="minorHAnsi" w:cstheme="minorBidi"/>
          <w:noProof w:val="0"/>
          <w:color w:val="333333"/>
          <w:shd w:val="clear" w:color="auto" w:fill="FCFCFC"/>
          <w:lang w:eastAsia="en-US"/>
        </w:rPr>
        <w:t>measured</w:t>
      </w:r>
      <w:proofErr w:type="gramEnd"/>
      <w:r w:rsidRPr="00F540E1">
        <w:rPr>
          <w:rFonts w:eastAsiaTheme="minorHAnsi" w:cstheme="minorBidi"/>
          <w:noProof w:val="0"/>
          <w:color w:val="333333"/>
          <w:shd w:val="clear" w:color="auto" w:fill="FCFCFC"/>
          <w:lang w:eastAsia="en-US"/>
        </w:rPr>
        <w:t xml:space="preserve"> </w:t>
      </w:r>
    </w:p>
    <w:p w14:paraId="7A5E2C14" w14:textId="2380221D" w:rsidR="00D0499D" w:rsidRPr="00D0499D" w:rsidRDefault="00D0499D" w:rsidP="00D0499D">
      <w:pPr>
        <w:spacing w:line="260" w:lineRule="exact"/>
        <w:ind w:left="2606"/>
        <w:rPr>
          <w:rFonts w:eastAsiaTheme="minorHAnsi" w:cstheme="minorBidi"/>
          <w:b/>
          <w:bCs/>
          <w:noProof w:val="0"/>
          <w:color w:val="333333"/>
          <w:sz w:val="18"/>
          <w:szCs w:val="18"/>
          <w:shd w:val="clear" w:color="auto" w:fill="FCFCFC"/>
          <w:lang w:eastAsia="en-US"/>
        </w:rPr>
      </w:pPr>
      <w:r w:rsidRPr="00D0499D">
        <w:rPr>
          <w:rFonts w:eastAsiaTheme="minorHAnsi" w:cstheme="minorBidi"/>
          <w:b/>
          <w:bCs/>
          <w:noProof w:val="0"/>
          <w:color w:val="333333"/>
          <w:sz w:val="18"/>
          <w:szCs w:val="18"/>
          <w:shd w:val="clear" w:color="auto" w:fill="FCFCFC"/>
          <w:lang w:eastAsia="en-US"/>
        </w:rPr>
        <w:t xml:space="preserve">Figure S4. </w:t>
      </w:r>
      <w:r w:rsidRPr="00511134">
        <w:rPr>
          <w:sz w:val="18"/>
          <w:szCs w:val="18"/>
        </w:rPr>
        <w:t xml:space="preserve">Chemiluminescence spots from the Luciferase Assay using the Typhoon 9000 Imager showing ATP standards and samples done in triplicate for HM053, </w:t>
      </w:r>
      <w:r w:rsidRPr="00511134">
        <w:rPr>
          <w:i/>
          <w:iCs/>
          <w:sz w:val="18"/>
          <w:szCs w:val="18"/>
        </w:rPr>
        <w:t>ipdC,</w:t>
      </w:r>
      <w:r w:rsidRPr="00511134">
        <w:rPr>
          <w:sz w:val="18"/>
          <w:szCs w:val="18"/>
        </w:rPr>
        <w:t xml:space="preserve"> and FP10 strains of </w:t>
      </w:r>
      <w:r w:rsidRPr="00511134">
        <w:rPr>
          <w:i/>
          <w:iCs/>
          <w:sz w:val="18"/>
          <w:szCs w:val="18"/>
        </w:rPr>
        <w:t>A. brasilense</w:t>
      </w:r>
      <w:r w:rsidRPr="00511134">
        <w:rPr>
          <w:sz w:val="18"/>
          <w:szCs w:val="18"/>
        </w:rPr>
        <w:t xml:space="preserve"> bacteria.</w:t>
      </w:r>
    </w:p>
    <w:p w14:paraId="5E3A0BCB" w14:textId="01D8EF3A" w:rsidR="00141446" w:rsidRDefault="00F540E1" w:rsidP="00141446">
      <w:pPr>
        <w:spacing w:before="120" w:line="260" w:lineRule="exact"/>
        <w:ind w:left="2610"/>
        <w:rPr>
          <w:rFonts w:eastAsiaTheme="minorHAnsi" w:cstheme="minorBidi"/>
          <w:noProof w:val="0"/>
          <w:color w:val="333333"/>
          <w:shd w:val="clear" w:color="auto" w:fill="FCFCFC"/>
          <w:lang w:eastAsia="en-US"/>
        </w:rPr>
      </w:pPr>
      <w:r w:rsidRPr="00F540E1">
        <w:rPr>
          <w:rFonts w:eastAsiaTheme="minorHAnsi" w:cstheme="minorBidi"/>
          <w:noProof w:val="0"/>
          <w:color w:val="333333"/>
          <w:shd w:val="clear" w:color="auto" w:fill="FCFCFC"/>
          <w:lang w:eastAsia="en-US"/>
        </w:rPr>
        <w:t xml:space="preserve">at 536 nm using a spectrophotometer (Evolution 201 UV/VIS, </w:t>
      </w:r>
      <w:r w:rsidRPr="00F540E1">
        <w:rPr>
          <w:rFonts w:eastAsiaTheme="minorHAnsi" w:cstheme="minorBidi"/>
          <w:noProof w:val="0"/>
          <w:color w:val="auto"/>
          <w:lang w:eastAsia="en-US"/>
        </w:rPr>
        <w:t>ThermoFisher Scientific Inc., Waltham, MA, USA</w:t>
      </w:r>
      <w:r w:rsidRPr="00F540E1">
        <w:rPr>
          <w:rFonts w:eastAsiaTheme="minorHAnsi" w:cstheme="minorBidi"/>
          <w:noProof w:val="0"/>
          <w:color w:val="333333"/>
          <w:shd w:val="clear" w:color="auto" w:fill="FCFCFC"/>
          <w:lang w:eastAsia="en-US"/>
        </w:rPr>
        <w:t>). For quantitative analysis, serial dilutions from 0 to 50 mg/L of auxin (Sigma Aldrich, St. Louis, MO, USA) were prepared and used as standards.</w:t>
      </w:r>
    </w:p>
    <w:p w14:paraId="44C95A31" w14:textId="435CE7EB" w:rsidR="00F540E1" w:rsidRPr="00F540E1" w:rsidRDefault="00F540E1" w:rsidP="00141446">
      <w:pPr>
        <w:spacing w:before="120" w:line="260" w:lineRule="exact"/>
        <w:ind w:left="2610"/>
        <w:rPr>
          <w:rFonts w:asciiTheme="minorHAnsi" w:eastAsiaTheme="minorHAnsi" w:hAnsiTheme="minorHAnsi" w:cstheme="minorBidi"/>
          <w:noProof w:val="0"/>
          <w:color w:val="auto"/>
          <w:lang w:eastAsia="en-US"/>
        </w:rPr>
      </w:pPr>
      <w:r w:rsidRPr="00F540E1">
        <w:rPr>
          <w:rFonts w:eastAsiaTheme="minorHAnsi" w:cstheme="minorBidi"/>
          <w:i/>
          <w:iCs/>
          <w:noProof w:val="0"/>
          <w:color w:val="333333"/>
          <w:shd w:val="clear" w:color="auto" w:fill="FCFCFC"/>
          <w:lang w:eastAsia="en-US"/>
        </w:rPr>
        <w:t xml:space="preserve">Cyclotron Production of </w:t>
      </w:r>
      <w:r w:rsidRPr="00F540E1">
        <w:rPr>
          <w:rFonts w:eastAsiaTheme="minorHAnsi" w:cstheme="minorBidi"/>
          <w:i/>
          <w:iCs/>
          <w:noProof w:val="0"/>
          <w:color w:val="333333"/>
          <w:shd w:val="clear" w:color="auto" w:fill="FCFCFC"/>
          <w:vertAlign w:val="superscript"/>
          <w:lang w:eastAsia="en-US"/>
        </w:rPr>
        <w:t>52</w:t>
      </w:r>
      <w:r w:rsidRPr="00F540E1">
        <w:rPr>
          <w:rFonts w:eastAsiaTheme="minorHAnsi" w:cstheme="minorBidi"/>
          <w:i/>
          <w:iCs/>
          <w:noProof w:val="0"/>
          <w:color w:val="333333"/>
          <w:shd w:val="clear" w:color="auto" w:fill="FCFCFC"/>
          <w:lang w:eastAsia="en-US"/>
        </w:rPr>
        <w:t>Mn</w:t>
      </w:r>
      <w:r w:rsidRPr="00F540E1">
        <w:rPr>
          <w:rFonts w:eastAsiaTheme="minorHAnsi" w:cstheme="minorBidi"/>
          <w:i/>
          <w:iCs/>
          <w:noProof w:val="0"/>
          <w:color w:val="333333"/>
          <w:shd w:val="clear" w:color="auto" w:fill="FCFCFC"/>
          <w:vertAlign w:val="superscript"/>
          <w:lang w:eastAsia="en-US"/>
        </w:rPr>
        <w:t>2+</w:t>
      </w:r>
      <w:r w:rsidRPr="00F540E1">
        <w:rPr>
          <w:rFonts w:eastAsiaTheme="minorHAnsi" w:cstheme="minorBidi"/>
          <w:noProof w:val="0"/>
          <w:color w:val="333333"/>
          <w:shd w:val="clear" w:color="auto" w:fill="FCFCFC"/>
          <w:vertAlign w:val="superscript"/>
          <w:lang w:eastAsia="en-US"/>
        </w:rPr>
        <w:t xml:space="preserve"> </w:t>
      </w:r>
      <w:r w:rsidRPr="00F540E1">
        <w:rPr>
          <w:rFonts w:eastAsiaTheme="minorHAnsi" w:cstheme="minorBidi"/>
          <w:noProof w:val="0"/>
          <w:color w:val="333333"/>
          <w:shd w:val="clear" w:color="auto" w:fill="FCFCFC"/>
          <w:lang w:eastAsia="en-US"/>
        </w:rPr>
        <w:t xml:space="preserve">- </w:t>
      </w:r>
      <w:r w:rsidRPr="00F540E1">
        <w:rPr>
          <w:rFonts w:cs="Segoe UI"/>
          <w:color w:val="212121"/>
          <w:kern w:val="2"/>
          <w:shd w:val="clear" w:color="auto" w:fill="FFFFFF"/>
          <w14:ligatures w14:val="standardContextual"/>
        </w:rPr>
        <w:t xml:space="preserve">Radioactive </w:t>
      </w:r>
      <w:r w:rsidRPr="00F540E1">
        <w:rPr>
          <w:rFonts w:cs="Segoe UI"/>
          <w:color w:val="212121"/>
          <w:kern w:val="2"/>
          <w:shd w:val="clear" w:color="auto" w:fill="FFFFFF"/>
          <w:vertAlign w:val="superscript"/>
          <w14:ligatures w14:val="standardContextual"/>
        </w:rPr>
        <w:t>52</w:t>
      </w:r>
      <w:r w:rsidRPr="00F540E1">
        <w:rPr>
          <w:rFonts w:cs="Segoe UI"/>
          <w:color w:val="212121"/>
          <w:kern w:val="2"/>
          <w:shd w:val="clear" w:color="auto" w:fill="FFFFFF"/>
          <w14:ligatures w14:val="standardContextual"/>
        </w:rPr>
        <w:t>Mn</w:t>
      </w:r>
      <w:r w:rsidRPr="00F540E1">
        <w:rPr>
          <w:rFonts w:cs="Segoe UI"/>
          <w:color w:val="212121"/>
          <w:kern w:val="2"/>
          <w:shd w:val="clear" w:color="auto" w:fill="FFFFFF"/>
          <w:vertAlign w:val="superscript"/>
          <w14:ligatures w14:val="standardContextual"/>
        </w:rPr>
        <w:t>2+</w:t>
      </w:r>
      <w:r w:rsidRPr="00F540E1">
        <w:rPr>
          <w:rFonts w:cs="Segoe UI"/>
          <w:color w:val="212121"/>
          <w:kern w:val="2"/>
          <w:shd w:val="clear" w:color="auto" w:fill="FFFFFF"/>
          <w14:ligatures w14:val="standardContextual"/>
        </w:rPr>
        <w:t xml:space="preserve"> was</w:t>
      </w:r>
      <w:r w:rsidRPr="00F540E1">
        <w:rPr>
          <w:color w:val="212121"/>
          <w:kern w:val="2"/>
          <w:shd w:val="clear" w:color="auto" w:fill="FFFFFF"/>
          <w14:ligatures w14:val="standardContextual"/>
        </w:rPr>
        <w:t xml:space="preserve"> produced on the University of Wisconsin PETtrace cyclotron (General Electric Healthcare, Waukesha, WI, USA) by </w:t>
      </w:r>
      <w:r w:rsidRPr="00F540E1">
        <w:rPr>
          <w:color w:val="212121"/>
          <w:kern w:val="2"/>
          <w:shd w:val="clear" w:color="auto" w:fill="FFFFFF"/>
          <w:vertAlign w:val="superscript"/>
          <w14:ligatures w14:val="standardContextual"/>
        </w:rPr>
        <w:t>nat</w:t>
      </w:r>
      <w:r w:rsidRPr="00F540E1">
        <w:rPr>
          <w:color w:val="212121"/>
          <w:kern w:val="2"/>
          <w:shd w:val="clear" w:color="auto" w:fill="FFFFFF"/>
          <w14:ligatures w14:val="standardContextual"/>
        </w:rPr>
        <w:t>Cr(p,n)</w:t>
      </w:r>
      <w:r w:rsidRPr="00F540E1">
        <w:rPr>
          <w:color w:val="212121"/>
          <w:kern w:val="2"/>
          <w:shd w:val="clear" w:color="auto" w:fill="FFFFFF"/>
          <w:vertAlign w:val="superscript"/>
          <w14:ligatures w14:val="standardContextual"/>
        </w:rPr>
        <w:t>52</w:t>
      </w:r>
      <w:r w:rsidRPr="00F540E1">
        <w:rPr>
          <w:color w:val="212121"/>
          <w:kern w:val="2"/>
          <w:shd w:val="clear" w:color="auto" w:fill="FFFFFF"/>
          <w14:ligatures w14:val="standardContextual"/>
        </w:rPr>
        <w:t>Mn using 16 MeV protons. The procedures for radioisotope separation are detailed in the following sentences (29). Following irradiation, targets were etched with HCl, and the resulting solution was diluted with ethanol. This was done to reach a condition where dissolved Mn</w:t>
      </w:r>
      <w:r w:rsidRPr="00F540E1">
        <w:rPr>
          <w:color w:val="212121"/>
          <w:kern w:val="2"/>
          <w:shd w:val="clear" w:color="auto" w:fill="FFFFFF"/>
          <w:vertAlign w:val="superscript"/>
          <w14:ligatures w14:val="standardContextual"/>
        </w:rPr>
        <w:t>2+</w:t>
      </w:r>
      <w:r w:rsidRPr="00F540E1">
        <w:rPr>
          <w:color w:val="212121"/>
          <w:kern w:val="2"/>
          <w:shd w:val="clear" w:color="auto" w:fill="FFFFFF"/>
          <w14:ligatures w14:val="standardContextual"/>
        </w:rPr>
        <w:t xml:space="preserve"> anionic chloride complexes extract onto strong anion-exchange resin while hydrated Cr</w:t>
      </w:r>
      <w:r w:rsidRPr="00F540E1">
        <w:rPr>
          <w:color w:val="212121"/>
          <w:kern w:val="2"/>
          <w:shd w:val="clear" w:color="auto" w:fill="FFFFFF"/>
          <w:vertAlign w:val="superscript"/>
          <w14:ligatures w14:val="standardContextual"/>
        </w:rPr>
        <w:t>3+</w:t>
      </w:r>
      <w:r w:rsidRPr="00F540E1">
        <w:rPr>
          <w:color w:val="212121"/>
          <w:kern w:val="2"/>
          <w:shd w:val="clear" w:color="auto" w:fill="FFFFFF"/>
          <w14:ligatures w14:val="standardContextual"/>
        </w:rPr>
        <w:t> passes through. Upon switching to a fully aqueous 6 M HCl solution </w:t>
      </w:r>
      <w:r w:rsidRPr="00F540E1">
        <w:rPr>
          <w:color w:val="212121"/>
          <w:kern w:val="2"/>
          <w:shd w:val="clear" w:color="auto" w:fill="FFFFFF"/>
          <w:vertAlign w:val="superscript"/>
          <w14:ligatures w14:val="standardContextual"/>
        </w:rPr>
        <w:t>52</w:t>
      </w:r>
      <w:r w:rsidRPr="00F540E1">
        <w:rPr>
          <w:color w:val="212121"/>
          <w:kern w:val="2"/>
          <w:shd w:val="clear" w:color="auto" w:fill="FFFFFF"/>
          <w14:ligatures w14:val="standardContextual"/>
        </w:rPr>
        <w:t>Mn</w:t>
      </w:r>
      <w:r w:rsidRPr="00F540E1">
        <w:rPr>
          <w:color w:val="212121"/>
          <w:kern w:val="2"/>
          <w:shd w:val="clear" w:color="auto" w:fill="FFFFFF"/>
          <w:vertAlign w:val="superscript"/>
          <w14:ligatures w14:val="standardContextual"/>
        </w:rPr>
        <w:t>2+</w:t>
      </w:r>
      <w:r w:rsidRPr="00F540E1">
        <w:rPr>
          <w:color w:val="212121"/>
          <w:kern w:val="2"/>
          <w:shd w:val="clear" w:color="auto" w:fill="FFFFFF"/>
          <w14:ligatures w14:val="standardContextual"/>
        </w:rPr>
        <w:t xml:space="preserve"> was released from the resin bed. The entire procedure of trap-and-release, alternating from ethanolic to aqueous mixtures was repeated three times on three separate small AG-1 × 8 columns. To render the purified dose of </w:t>
      </w:r>
      <w:r w:rsidRPr="00F540E1">
        <w:rPr>
          <w:color w:val="212121"/>
          <w:kern w:val="2"/>
          <w:shd w:val="clear" w:color="auto" w:fill="FFFFFF"/>
          <w:vertAlign w:val="superscript"/>
          <w14:ligatures w14:val="standardContextual"/>
        </w:rPr>
        <w:t>52</w:t>
      </w:r>
      <w:r w:rsidRPr="00F540E1">
        <w:rPr>
          <w:color w:val="212121"/>
          <w:kern w:val="2"/>
          <w:shd w:val="clear" w:color="auto" w:fill="FFFFFF"/>
          <w14:ligatures w14:val="standardContextual"/>
        </w:rPr>
        <w:t>Mn</w:t>
      </w:r>
      <w:r w:rsidRPr="00F540E1">
        <w:rPr>
          <w:color w:val="212121"/>
          <w:kern w:val="2"/>
          <w:shd w:val="clear" w:color="auto" w:fill="FFFFFF"/>
          <w:vertAlign w:val="superscript"/>
          <w14:ligatures w14:val="standardContextual"/>
        </w:rPr>
        <w:t>2+</w:t>
      </w:r>
      <w:r w:rsidRPr="00F540E1">
        <w:rPr>
          <w:color w:val="212121"/>
          <w:kern w:val="2"/>
          <w:shd w:val="clear" w:color="auto" w:fill="FFFFFF"/>
          <w14:ligatures w14:val="standardContextual"/>
        </w:rPr>
        <w:t xml:space="preserve"> in 0.5 mL of dilute aqueous HCl for shipment.</w:t>
      </w:r>
    </w:p>
    <w:p w14:paraId="7B95F1DF" w14:textId="77777777" w:rsidR="00F540E1" w:rsidRDefault="00F540E1" w:rsidP="00F540E1">
      <w:pPr>
        <w:spacing w:after="160" w:line="260" w:lineRule="exact"/>
        <w:jc w:val="left"/>
        <w:rPr>
          <w:rFonts w:asciiTheme="minorHAnsi" w:eastAsiaTheme="minorHAnsi" w:hAnsiTheme="minorHAnsi" w:cstheme="minorBidi"/>
          <w:noProof w:val="0"/>
          <w:color w:val="auto"/>
          <w:lang w:eastAsia="en-US"/>
        </w:rPr>
      </w:pPr>
    </w:p>
    <w:p w14:paraId="223BC90B" w14:textId="77777777" w:rsidR="005A074C" w:rsidRDefault="005A074C" w:rsidP="00F540E1">
      <w:pPr>
        <w:spacing w:after="160" w:line="260" w:lineRule="exact"/>
        <w:jc w:val="left"/>
        <w:rPr>
          <w:rFonts w:asciiTheme="minorHAnsi" w:eastAsiaTheme="minorHAnsi" w:hAnsiTheme="minorHAnsi" w:cstheme="minorBidi"/>
          <w:noProof w:val="0"/>
          <w:color w:val="auto"/>
          <w:lang w:eastAsia="en-US"/>
        </w:rPr>
      </w:pPr>
    </w:p>
    <w:p w14:paraId="33BF46EC" w14:textId="6468C703" w:rsidR="005A074C" w:rsidRPr="00F540E1" w:rsidRDefault="005A074C" w:rsidP="00F540E1">
      <w:pPr>
        <w:spacing w:after="160" w:line="260" w:lineRule="exact"/>
        <w:jc w:val="left"/>
        <w:rPr>
          <w:rFonts w:asciiTheme="minorHAnsi" w:eastAsiaTheme="minorHAnsi" w:hAnsiTheme="minorHAnsi" w:cstheme="minorBidi"/>
          <w:noProof w:val="0"/>
          <w:color w:val="auto"/>
          <w:lang w:eastAsia="en-US"/>
        </w:rPr>
      </w:pPr>
    </w:p>
    <w:p w14:paraId="396AA170" w14:textId="77777777" w:rsidR="005A074C" w:rsidRDefault="005A074C" w:rsidP="00141446">
      <w:pPr>
        <w:spacing w:line="260" w:lineRule="exact"/>
      </w:pPr>
    </w:p>
    <w:p w14:paraId="7122AE0F" w14:textId="77777777" w:rsidR="005A074C" w:rsidRDefault="005A074C" w:rsidP="00141446">
      <w:pPr>
        <w:spacing w:line="260" w:lineRule="exact"/>
      </w:pPr>
    </w:p>
    <w:p w14:paraId="5F545866" w14:textId="77777777" w:rsidR="005A074C" w:rsidRDefault="005A074C" w:rsidP="00141446">
      <w:pPr>
        <w:spacing w:line="260" w:lineRule="exact"/>
      </w:pPr>
    </w:p>
    <w:p w14:paraId="3F26DC30" w14:textId="77777777" w:rsidR="005A074C" w:rsidRDefault="005A074C" w:rsidP="00141446">
      <w:pPr>
        <w:spacing w:line="260" w:lineRule="exact"/>
      </w:pPr>
    </w:p>
    <w:p w14:paraId="6156F0D6" w14:textId="77777777" w:rsidR="005A074C" w:rsidRDefault="005A074C" w:rsidP="00141446">
      <w:pPr>
        <w:spacing w:line="260" w:lineRule="exact"/>
        <w:rPr>
          <w:rFonts w:asciiTheme="minorHAnsi" w:eastAsiaTheme="minorHAnsi" w:hAnsiTheme="minorHAnsi" w:cstheme="minorBidi"/>
          <w:color w:val="auto"/>
          <w:lang w:eastAsia="en-US"/>
        </w:rPr>
      </w:pPr>
    </w:p>
    <w:p w14:paraId="08E30A29" w14:textId="77777777" w:rsidR="005A074C" w:rsidRDefault="005A074C" w:rsidP="00141446">
      <w:pPr>
        <w:spacing w:line="260" w:lineRule="exact"/>
      </w:pPr>
    </w:p>
    <w:p w14:paraId="0348B9EE" w14:textId="77777777" w:rsidR="005A074C" w:rsidRDefault="005A074C" w:rsidP="00141446">
      <w:pPr>
        <w:spacing w:line="260" w:lineRule="exact"/>
      </w:pPr>
    </w:p>
    <w:p w14:paraId="4CD4508A" w14:textId="77777777" w:rsidR="005A074C" w:rsidRDefault="005A074C" w:rsidP="00141446">
      <w:pPr>
        <w:spacing w:line="260" w:lineRule="exact"/>
      </w:pPr>
    </w:p>
    <w:p w14:paraId="500F2D6F" w14:textId="77777777" w:rsidR="005A074C" w:rsidRDefault="005A074C" w:rsidP="00141446">
      <w:pPr>
        <w:spacing w:line="260" w:lineRule="exact"/>
      </w:pPr>
    </w:p>
    <w:p w14:paraId="64BB96E8" w14:textId="128EEF0E" w:rsidR="005A074C" w:rsidRPr="005A074C" w:rsidRDefault="005A074C" w:rsidP="005A074C">
      <w:pPr>
        <w:spacing w:line="260" w:lineRule="exact"/>
        <w:ind w:left="2520"/>
        <w:rPr>
          <w:rFonts w:eastAsiaTheme="minorHAnsi" w:cstheme="minorBidi"/>
          <w:noProof w:val="0"/>
          <w:color w:val="auto"/>
          <w:sz w:val="18"/>
          <w:szCs w:val="18"/>
          <w:lang w:eastAsia="en-US"/>
        </w:rPr>
      </w:pPr>
      <w:r w:rsidRPr="005A074C">
        <w:rPr>
          <w:rFonts w:asciiTheme="minorHAnsi" w:eastAsiaTheme="minorHAnsi" w:hAnsiTheme="minorHAnsi" w:cstheme="minorBidi"/>
          <w:b/>
          <w:bCs/>
          <w:color w:val="auto"/>
          <w:sz w:val="18"/>
          <w:szCs w:val="18"/>
          <w:lang w:eastAsia="en-US"/>
        </w:rPr>
        <w:drawing>
          <wp:anchor distT="0" distB="0" distL="114300" distR="114300" simplePos="0" relativeHeight="251662336" behindDoc="0" locked="0" layoutInCell="1" allowOverlap="1" wp14:anchorId="736D38AF" wp14:editId="4A455707">
            <wp:simplePos x="0" y="0"/>
            <wp:positionH relativeFrom="column">
              <wp:posOffset>1630680</wp:posOffset>
            </wp:positionH>
            <wp:positionV relativeFrom="page">
              <wp:posOffset>1455420</wp:posOffset>
            </wp:positionV>
            <wp:extent cx="4481830" cy="5447030"/>
            <wp:effectExtent l="0" t="0" r="0" b="1270"/>
            <wp:wrapTopAndBottom/>
            <wp:docPr id="1416501570" name="Picture 6" descr="A group of vials with different colored liquid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501570" name="Picture 6" descr="A group of vials with different colored liquids&#10;&#10;Description automatically generated with low confidence"/>
                    <pic:cNvPicPr/>
                  </pic:nvPicPr>
                  <pic:blipFill>
                    <a:blip r:embed="rId22"/>
                    <a:stretch>
                      <a:fillRect/>
                    </a:stretch>
                  </pic:blipFill>
                  <pic:spPr>
                    <a:xfrm>
                      <a:off x="0" y="0"/>
                      <a:ext cx="4481830" cy="5447030"/>
                    </a:xfrm>
                    <a:prstGeom prst="rect">
                      <a:avLst/>
                    </a:prstGeom>
                  </pic:spPr>
                </pic:pic>
              </a:graphicData>
            </a:graphic>
            <wp14:sizeRelH relativeFrom="margin">
              <wp14:pctWidth>0</wp14:pctWidth>
            </wp14:sizeRelH>
            <wp14:sizeRelV relativeFrom="margin">
              <wp14:pctHeight>0</wp14:pctHeight>
            </wp14:sizeRelV>
          </wp:anchor>
        </w:drawing>
      </w:r>
      <w:r w:rsidRPr="005A074C">
        <w:rPr>
          <w:b/>
          <w:bCs/>
          <w:sz w:val="18"/>
          <w:szCs w:val="18"/>
        </w:rPr>
        <w:t>Figure S5.</w:t>
      </w:r>
      <w:r w:rsidRPr="005A074C">
        <w:rPr>
          <w:rFonts w:eastAsiaTheme="minorHAnsi" w:cstheme="minorBidi"/>
          <w:noProof w:val="0"/>
          <w:color w:val="auto"/>
          <w:sz w:val="18"/>
          <w:szCs w:val="18"/>
          <w:lang w:eastAsia="en-US"/>
        </w:rPr>
        <w:t xml:space="preserve"> Optical cuvettes showing color differences between HM053, a high auxin producing strain, and </w:t>
      </w:r>
      <w:r w:rsidRPr="005A074C">
        <w:rPr>
          <w:rFonts w:eastAsiaTheme="minorHAnsi" w:cstheme="minorBidi"/>
          <w:i/>
          <w:iCs/>
          <w:noProof w:val="0"/>
          <w:color w:val="auto"/>
          <w:sz w:val="18"/>
          <w:szCs w:val="18"/>
          <w:lang w:eastAsia="en-US"/>
        </w:rPr>
        <w:t>ipdC</w:t>
      </w:r>
      <w:r w:rsidRPr="005A074C">
        <w:rPr>
          <w:rFonts w:eastAsiaTheme="minorHAnsi" w:cstheme="minorBidi"/>
          <w:noProof w:val="0"/>
          <w:color w:val="auto"/>
          <w:sz w:val="18"/>
          <w:szCs w:val="18"/>
          <w:lang w:eastAsia="en-US"/>
        </w:rPr>
        <w:t xml:space="preserve">, an auxin deficient strain of </w:t>
      </w:r>
      <w:r w:rsidRPr="005A074C">
        <w:rPr>
          <w:rFonts w:eastAsiaTheme="minorHAnsi" w:cstheme="minorBidi"/>
          <w:i/>
          <w:iCs/>
          <w:noProof w:val="0"/>
          <w:color w:val="auto"/>
          <w:sz w:val="18"/>
          <w:szCs w:val="18"/>
          <w:lang w:eastAsia="en-US"/>
        </w:rPr>
        <w:t>A. brasilense</w:t>
      </w:r>
      <w:r w:rsidRPr="005A074C">
        <w:rPr>
          <w:rFonts w:eastAsiaTheme="minorHAnsi" w:cstheme="minorBidi"/>
          <w:noProof w:val="0"/>
          <w:color w:val="auto"/>
          <w:sz w:val="18"/>
          <w:szCs w:val="18"/>
          <w:lang w:eastAsia="en-US"/>
        </w:rPr>
        <w:t xml:space="preserve"> bacteria. When developing the method, we applied tryptophan as a challenge to elevate microbial auxin levels.</w:t>
      </w:r>
    </w:p>
    <w:p w14:paraId="5EBB20F0" w14:textId="0B992A6F" w:rsidR="00F540E1" w:rsidRPr="005A074C" w:rsidRDefault="00F540E1" w:rsidP="005A074C">
      <w:pPr>
        <w:spacing w:line="260" w:lineRule="exact"/>
        <w:ind w:firstLine="2610"/>
        <w:rPr>
          <w:b/>
          <w:bCs/>
          <w:sz w:val="18"/>
          <w:szCs w:val="18"/>
        </w:rPr>
      </w:pPr>
    </w:p>
    <w:sectPr w:rsidR="00F540E1" w:rsidRPr="005A074C" w:rsidSect="0092412C">
      <w:headerReference w:type="even" r:id="rId23"/>
      <w:headerReference w:type="default" r:id="rId24"/>
      <w:footerReference w:type="default" r:id="rId25"/>
      <w:headerReference w:type="first" r:id="rId26"/>
      <w:footerReference w:type="first" r:id="rId27"/>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6DF7A" w14:textId="77777777" w:rsidR="004F1A24" w:rsidRDefault="004F1A24">
      <w:pPr>
        <w:spacing w:line="240" w:lineRule="auto"/>
      </w:pPr>
      <w:r>
        <w:separator/>
      </w:r>
    </w:p>
  </w:endnote>
  <w:endnote w:type="continuationSeparator" w:id="0">
    <w:p w14:paraId="02C18161" w14:textId="77777777" w:rsidR="004F1A24" w:rsidRDefault="004F1A2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Microsoft YaHei"/>
    <w:panose1 w:val="02010600030101010101"/>
    <w:charset w:val="86"/>
    <w:family w:val="auto"/>
    <w:pitch w:val="variable"/>
    <w:sig w:usb0="A00002BF" w:usb1="38CF7CFA" w:usb2="00000016" w:usb3="00000000" w:csb0="0004000F" w:csb1="00000000"/>
  </w:font>
  <w:font w:name="+mn-e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8E394" w14:textId="77777777" w:rsidR="00D87F42" w:rsidRPr="00D63625" w:rsidRDefault="00D87F42" w:rsidP="00D87F42">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9770A" w14:textId="77777777" w:rsidR="00725AE4" w:rsidRDefault="00725AE4" w:rsidP="00552641">
    <w:pPr>
      <w:pBdr>
        <w:top w:val="single" w:sz="4" w:space="0" w:color="000000"/>
      </w:pBdr>
      <w:tabs>
        <w:tab w:val="right" w:pos="8844"/>
      </w:tabs>
      <w:adjustRightInd w:val="0"/>
      <w:snapToGrid w:val="0"/>
      <w:spacing w:before="480" w:line="100" w:lineRule="exact"/>
      <w:jc w:val="left"/>
      <w:rPr>
        <w:i/>
        <w:sz w:val="16"/>
        <w:szCs w:val="16"/>
        <w:lang w:val="it-IT"/>
      </w:rPr>
    </w:pPr>
  </w:p>
  <w:p w14:paraId="7AA8BCEE" w14:textId="77777777" w:rsidR="00D87F42" w:rsidRPr="00372FCD" w:rsidRDefault="00D87F42" w:rsidP="0050065C">
    <w:pPr>
      <w:tabs>
        <w:tab w:val="right" w:pos="10466"/>
      </w:tabs>
      <w:adjustRightInd w:val="0"/>
      <w:snapToGrid w:val="0"/>
      <w:spacing w:line="240" w:lineRule="auto"/>
      <w:rPr>
        <w:sz w:val="16"/>
        <w:szCs w:val="16"/>
        <w:lang w:val="fr-CH"/>
      </w:rPr>
    </w:pPr>
    <w:r w:rsidRPr="00BE5BA2">
      <w:rPr>
        <w:i/>
        <w:sz w:val="16"/>
        <w:szCs w:val="16"/>
        <w:lang w:val="it-IT"/>
      </w:rPr>
      <w:t xml:space="preserve">Microorganisms </w:t>
    </w:r>
    <w:r w:rsidR="00174597">
      <w:rPr>
        <w:b/>
        <w:bCs/>
        <w:iCs/>
        <w:sz w:val="16"/>
        <w:szCs w:val="16"/>
        <w:lang w:val="it-IT"/>
      </w:rPr>
      <w:t>2023</w:t>
    </w:r>
    <w:r w:rsidR="00716D7B" w:rsidRPr="00716D7B">
      <w:rPr>
        <w:bCs/>
        <w:iCs/>
        <w:sz w:val="16"/>
        <w:szCs w:val="16"/>
        <w:lang w:val="it-IT"/>
      </w:rPr>
      <w:t>,</w:t>
    </w:r>
    <w:r w:rsidR="00174597">
      <w:rPr>
        <w:bCs/>
        <w:i/>
        <w:iCs/>
        <w:sz w:val="16"/>
        <w:szCs w:val="16"/>
        <w:lang w:val="it-IT"/>
      </w:rPr>
      <w:t xml:space="preserve"> 11</w:t>
    </w:r>
    <w:r w:rsidR="00716D7B" w:rsidRPr="00716D7B">
      <w:rPr>
        <w:bCs/>
        <w:iCs/>
        <w:sz w:val="16"/>
        <w:szCs w:val="16"/>
        <w:lang w:val="it-IT"/>
      </w:rPr>
      <w:t xml:space="preserve">, </w:t>
    </w:r>
    <w:r w:rsidR="00D56221">
      <w:rPr>
        <w:bCs/>
        <w:iCs/>
        <w:sz w:val="16"/>
        <w:szCs w:val="16"/>
        <w:lang w:val="it-IT"/>
      </w:rPr>
      <w:t>x</w:t>
    </w:r>
    <w:r w:rsidR="00725AE4">
      <w:rPr>
        <w:bCs/>
        <w:iCs/>
        <w:sz w:val="16"/>
        <w:szCs w:val="16"/>
        <w:lang w:val="it-IT"/>
      </w:rPr>
      <w:t>. https://doi.org/10.3390/xxxxx</w:t>
    </w:r>
    <w:r w:rsidR="0050065C" w:rsidRPr="00372FCD">
      <w:rPr>
        <w:sz w:val="16"/>
        <w:szCs w:val="16"/>
        <w:lang w:val="fr-CH"/>
      </w:rPr>
      <w:tab/>
    </w:r>
    <w:r w:rsidRPr="00372FCD">
      <w:rPr>
        <w:sz w:val="16"/>
        <w:szCs w:val="16"/>
        <w:lang w:val="fr-CH"/>
      </w:rPr>
      <w:t>www.mdpi.com/journal/</w:t>
    </w:r>
    <w:r w:rsidRPr="00BE5BA2">
      <w:rPr>
        <w:sz w:val="16"/>
        <w:szCs w:val="16"/>
        <w:lang w:val="it-IT"/>
      </w:rPr>
      <w:t>microorganisms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9CFA8B" w14:textId="77777777" w:rsidR="004F1A24" w:rsidRDefault="004F1A24">
      <w:pPr>
        <w:spacing w:line="240" w:lineRule="auto"/>
      </w:pPr>
      <w:r>
        <w:separator/>
      </w:r>
    </w:p>
  </w:footnote>
  <w:footnote w:type="continuationSeparator" w:id="0">
    <w:p w14:paraId="5755A7ED" w14:textId="77777777" w:rsidR="004F1A24" w:rsidRDefault="004F1A2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15397" w14:textId="77777777" w:rsidR="00D87F42" w:rsidRDefault="00D87F42" w:rsidP="00D87F42">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62F2D" w14:textId="77777777" w:rsidR="00725AE4" w:rsidRDefault="00D87F42" w:rsidP="0050065C">
    <w:pPr>
      <w:tabs>
        <w:tab w:val="right" w:pos="10466"/>
      </w:tabs>
      <w:adjustRightInd w:val="0"/>
      <w:snapToGrid w:val="0"/>
      <w:spacing w:line="240" w:lineRule="auto"/>
      <w:rPr>
        <w:sz w:val="16"/>
      </w:rPr>
    </w:pPr>
    <w:r>
      <w:rPr>
        <w:i/>
        <w:sz w:val="16"/>
      </w:rPr>
      <w:t xml:space="preserve">Microorganisms </w:t>
    </w:r>
    <w:r w:rsidR="00174597">
      <w:rPr>
        <w:b/>
        <w:sz w:val="16"/>
      </w:rPr>
      <w:t>2023</w:t>
    </w:r>
    <w:r w:rsidR="00716D7B" w:rsidRPr="00716D7B">
      <w:rPr>
        <w:sz w:val="16"/>
      </w:rPr>
      <w:t>,</w:t>
    </w:r>
    <w:r w:rsidR="00174597">
      <w:rPr>
        <w:i/>
        <w:sz w:val="16"/>
      </w:rPr>
      <w:t xml:space="preserve"> 11</w:t>
    </w:r>
    <w:r w:rsidR="00D56221">
      <w:rPr>
        <w:sz w:val="16"/>
      </w:rPr>
      <w:t>, x FOR PEER REVIEW</w:t>
    </w:r>
    <w:r w:rsidR="0050065C">
      <w:rPr>
        <w:sz w:val="16"/>
      </w:rPr>
      <w:tab/>
    </w:r>
    <w:r w:rsidR="00D56221">
      <w:rPr>
        <w:sz w:val="16"/>
      </w:rPr>
      <w:fldChar w:fldCharType="begin"/>
    </w:r>
    <w:r w:rsidR="00D56221">
      <w:rPr>
        <w:sz w:val="16"/>
      </w:rPr>
      <w:instrText xml:space="preserve"> PAGE   \* MERGEFORMAT </w:instrText>
    </w:r>
    <w:r w:rsidR="00D56221">
      <w:rPr>
        <w:sz w:val="16"/>
      </w:rPr>
      <w:fldChar w:fldCharType="separate"/>
    </w:r>
    <w:r w:rsidR="00386F61">
      <w:rPr>
        <w:sz w:val="16"/>
      </w:rPr>
      <w:t>5</w:t>
    </w:r>
    <w:r w:rsidR="00D56221">
      <w:rPr>
        <w:sz w:val="16"/>
      </w:rPr>
      <w:fldChar w:fldCharType="end"/>
    </w:r>
    <w:r w:rsidR="00D56221">
      <w:rPr>
        <w:sz w:val="16"/>
      </w:rPr>
      <w:t xml:space="preserve"> of </w:t>
    </w:r>
    <w:r w:rsidR="00D56221">
      <w:rPr>
        <w:sz w:val="16"/>
      </w:rPr>
      <w:fldChar w:fldCharType="begin"/>
    </w:r>
    <w:r w:rsidR="00D56221">
      <w:rPr>
        <w:sz w:val="16"/>
      </w:rPr>
      <w:instrText xml:space="preserve"> NUMPAGES   \* MERGEFORMAT </w:instrText>
    </w:r>
    <w:r w:rsidR="00D56221">
      <w:rPr>
        <w:sz w:val="16"/>
      </w:rPr>
      <w:fldChar w:fldCharType="separate"/>
    </w:r>
    <w:r w:rsidR="00386F61">
      <w:rPr>
        <w:sz w:val="16"/>
      </w:rPr>
      <w:t>5</w:t>
    </w:r>
    <w:r w:rsidR="00D56221">
      <w:rPr>
        <w:sz w:val="16"/>
      </w:rPr>
      <w:fldChar w:fldCharType="end"/>
    </w:r>
  </w:p>
  <w:p w14:paraId="013CCD5C" w14:textId="77777777" w:rsidR="00D87F42" w:rsidRPr="00FE092D" w:rsidRDefault="00D87F42" w:rsidP="00552641">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82" w:type="dxa"/>
      <w:tblCellMar>
        <w:left w:w="0" w:type="dxa"/>
        <w:right w:w="0" w:type="dxa"/>
      </w:tblCellMar>
      <w:tblLook w:val="04A0" w:firstRow="1" w:lastRow="0" w:firstColumn="1" w:lastColumn="0" w:noHBand="0" w:noVBand="1"/>
    </w:tblPr>
    <w:tblGrid>
      <w:gridCol w:w="3674"/>
      <w:gridCol w:w="4535"/>
      <w:gridCol w:w="2273"/>
    </w:tblGrid>
    <w:tr w:rsidR="00725AE4" w:rsidRPr="0050065C" w14:paraId="660CBBA0" w14:textId="77777777" w:rsidTr="00B67124">
      <w:trPr>
        <w:trHeight w:val="686"/>
      </w:trPr>
      <w:tc>
        <w:tcPr>
          <w:tcW w:w="3674" w:type="dxa"/>
          <w:shd w:val="clear" w:color="auto" w:fill="auto"/>
          <w:vAlign w:val="center"/>
        </w:tcPr>
        <w:p w14:paraId="5D418D7F" w14:textId="77777777" w:rsidR="00725AE4" w:rsidRPr="00EB148C" w:rsidRDefault="00D768C7" w:rsidP="0050065C">
          <w:pPr>
            <w:pStyle w:val="Header"/>
            <w:pBdr>
              <w:bottom w:val="none" w:sz="0" w:space="0" w:color="auto"/>
            </w:pBdr>
            <w:jc w:val="left"/>
            <w:rPr>
              <w:rFonts w:eastAsia="DengXian"/>
              <w:b/>
              <w:bCs/>
            </w:rPr>
          </w:pPr>
          <w:r w:rsidRPr="00EB148C">
            <w:rPr>
              <w:rFonts w:eastAsia="DengXian"/>
              <w:b/>
              <w:bCs/>
            </w:rPr>
            <w:drawing>
              <wp:inline distT="0" distB="0" distL="0" distR="0" wp14:anchorId="5E742138" wp14:editId="282B39D6">
                <wp:extent cx="2216785" cy="429260"/>
                <wp:effectExtent l="0" t="0" r="0" b="0"/>
                <wp:docPr id="1" name="Picture 5" descr="C:\Users\home\Desktop\logos\带白边的logo\JCDD-Water\Microorganisms\Microorganisms_big-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带白边的logo\JCDD-Water\Microorganisms\Microorganisms_big-01.png"/>
                        <pic:cNvPicPr>
                          <a:picLocks noChangeAspect="1" noChangeArrowheads="1"/>
                        </pic:cNvPicPr>
                      </pic:nvPicPr>
                      <pic:blipFill>
                        <a:blip r:embed="rId1">
                          <a:extLst>
                            <a:ext uri="{28A0092B-C50C-407E-A947-70E740481C1C}">
                              <a14:useLocalDpi xmlns:a14="http://schemas.microsoft.com/office/drawing/2010/main" val="0"/>
                            </a:ext>
                          </a:extLst>
                        </a:blip>
                        <a:srcRect l="2766" t="10683" b="9511"/>
                        <a:stretch>
                          <a:fillRect/>
                        </a:stretch>
                      </pic:blipFill>
                      <pic:spPr bwMode="auto">
                        <a:xfrm>
                          <a:off x="0" y="0"/>
                          <a:ext cx="2216785" cy="429260"/>
                        </a:xfrm>
                        <a:prstGeom prst="rect">
                          <a:avLst/>
                        </a:prstGeom>
                        <a:noFill/>
                        <a:ln>
                          <a:noFill/>
                        </a:ln>
                      </pic:spPr>
                    </pic:pic>
                  </a:graphicData>
                </a:graphic>
              </wp:inline>
            </w:drawing>
          </w:r>
        </w:p>
      </w:tc>
      <w:tc>
        <w:tcPr>
          <w:tcW w:w="4535" w:type="dxa"/>
          <w:shd w:val="clear" w:color="auto" w:fill="auto"/>
          <w:vAlign w:val="center"/>
        </w:tcPr>
        <w:p w14:paraId="36DE3354" w14:textId="77777777" w:rsidR="00725AE4" w:rsidRPr="00EB148C" w:rsidRDefault="00725AE4" w:rsidP="0050065C">
          <w:pPr>
            <w:pStyle w:val="Header"/>
            <w:pBdr>
              <w:bottom w:val="none" w:sz="0" w:space="0" w:color="auto"/>
            </w:pBdr>
            <w:rPr>
              <w:rFonts w:eastAsia="DengXian"/>
              <w:b/>
              <w:bCs/>
            </w:rPr>
          </w:pPr>
        </w:p>
      </w:tc>
      <w:tc>
        <w:tcPr>
          <w:tcW w:w="2273" w:type="dxa"/>
          <w:shd w:val="clear" w:color="auto" w:fill="auto"/>
          <w:vAlign w:val="center"/>
        </w:tcPr>
        <w:p w14:paraId="0563F077" w14:textId="77777777" w:rsidR="00725AE4" w:rsidRPr="00EB148C" w:rsidRDefault="00B67124" w:rsidP="00B67124">
          <w:pPr>
            <w:pStyle w:val="Header"/>
            <w:pBdr>
              <w:bottom w:val="none" w:sz="0" w:space="0" w:color="auto"/>
            </w:pBdr>
            <w:jc w:val="right"/>
            <w:rPr>
              <w:rFonts w:eastAsia="DengXian"/>
              <w:b/>
              <w:bCs/>
            </w:rPr>
          </w:pPr>
          <w:r>
            <w:rPr>
              <w:rFonts w:eastAsia="DengXian"/>
              <w:b/>
              <w:bCs/>
            </w:rPr>
            <w:drawing>
              <wp:inline distT="0" distB="0" distL="0" distR="0" wp14:anchorId="1D568E14" wp14:editId="1C9545BF">
                <wp:extent cx="540000" cy="360000"/>
                <wp:effectExtent l="0" t="0" r="0" b="2540"/>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
                          <a:extLst>
                            <a:ext uri="{28A0092B-C50C-407E-A947-70E740481C1C}">
                              <a14:useLocalDpi xmlns:a14="http://schemas.microsoft.com/office/drawing/2010/main" val="0"/>
                            </a:ext>
                          </a:extLst>
                        </a:blip>
                        <a:stretch>
                          <a:fillRect/>
                        </a:stretch>
                      </pic:blipFill>
                      <pic:spPr>
                        <a:xfrm>
                          <a:off x="0" y="0"/>
                          <a:ext cx="540000" cy="360000"/>
                        </a:xfrm>
                        <a:prstGeom prst="rect">
                          <a:avLst/>
                        </a:prstGeom>
                      </pic:spPr>
                    </pic:pic>
                  </a:graphicData>
                </a:graphic>
              </wp:inline>
            </w:drawing>
          </w:r>
        </w:p>
      </w:tc>
    </w:tr>
  </w:tbl>
  <w:p w14:paraId="1186E463" w14:textId="77777777" w:rsidR="00D87F42" w:rsidRPr="00725AE4" w:rsidRDefault="00D87F42" w:rsidP="00552641">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B468F5"/>
    <w:multiLevelType w:val="hybridMultilevel"/>
    <w:tmpl w:val="9830E622"/>
    <w:lvl w:ilvl="0" w:tplc="8AA8B21E">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A08605E"/>
    <w:multiLevelType w:val="hybridMultilevel"/>
    <w:tmpl w:val="259E717E"/>
    <w:lvl w:ilvl="0" w:tplc="82461EA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46EF7BC3"/>
    <w:multiLevelType w:val="hybridMultilevel"/>
    <w:tmpl w:val="CC542A14"/>
    <w:lvl w:ilvl="0" w:tplc="78805936">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7F412DB"/>
    <w:multiLevelType w:val="hybridMultilevel"/>
    <w:tmpl w:val="5986F0E6"/>
    <w:lvl w:ilvl="0" w:tplc="61DCC2B6">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9"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1" w15:restartNumberingAfterBreak="0">
    <w:nsid w:val="57CD1DE1"/>
    <w:multiLevelType w:val="hybridMultilevel"/>
    <w:tmpl w:val="121AF52C"/>
    <w:lvl w:ilvl="0" w:tplc="5A445BC8">
      <w:start w:val="1"/>
      <w:numFmt w:val="decimal"/>
      <w:lvlText w:val="%1."/>
      <w:lvlJc w:val="left"/>
      <w:pPr>
        <w:ind w:left="720" w:hanging="360"/>
      </w:pPr>
      <w:rPr>
        <w:vertAlign w:val="superscrip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216133E"/>
    <w:multiLevelType w:val="hybridMultilevel"/>
    <w:tmpl w:val="9D984AC2"/>
    <w:lvl w:ilvl="0" w:tplc="289EAA1C">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59277794">
    <w:abstractNumId w:val="4"/>
  </w:num>
  <w:num w:numId="2" w16cid:durableId="955522096">
    <w:abstractNumId w:val="6"/>
  </w:num>
  <w:num w:numId="3" w16cid:durableId="471599093">
    <w:abstractNumId w:val="3"/>
  </w:num>
  <w:num w:numId="4" w16cid:durableId="24026369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73387006">
    <w:abstractNumId w:val="5"/>
  </w:num>
  <w:num w:numId="6" w16cid:durableId="314408410">
    <w:abstractNumId w:val="10"/>
  </w:num>
  <w:num w:numId="7" w16cid:durableId="427047796">
    <w:abstractNumId w:val="2"/>
  </w:num>
  <w:num w:numId="8" w16cid:durableId="337269488">
    <w:abstractNumId w:val="10"/>
  </w:num>
  <w:num w:numId="9" w16cid:durableId="1117482875">
    <w:abstractNumId w:val="2"/>
  </w:num>
  <w:num w:numId="10" w16cid:durableId="1574852304">
    <w:abstractNumId w:val="10"/>
  </w:num>
  <w:num w:numId="11" w16cid:durableId="379979372">
    <w:abstractNumId w:val="2"/>
  </w:num>
  <w:num w:numId="12" w16cid:durableId="854341544">
    <w:abstractNumId w:val="12"/>
  </w:num>
  <w:num w:numId="13" w16cid:durableId="632293004">
    <w:abstractNumId w:val="10"/>
  </w:num>
  <w:num w:numId="14" w16cid:durableId="18552697">
    <w:abstractNumId w:val="2"/>
  </w:num>
  <w:num w:numId="15" w16cid:durableId="1986351650">
    <w:abstractNumId w:val="0"/>
  </w:num>
  <w:num w:numId="16" w16cid:durableId="1610969311">
    <w:abstractNumId w:val="9"/>
  </w:num>
  <w:num w:numId="17" w16cid:durableId="128090039">
    <w:abstractNumId w:val="0"/>
  </w:num>
  <w:num w:numId="18" w16cid:durableId="989480745">
    <w:abstractNumId w:val="10"/>
  </w:num>
  <w:num w:numId="19" w16cid:durableId="346955398">
    <w:abstractNumId w:val="2"/>
  </w:num>
  <w:num w:numId="20" w16cid:durableId="1882398199">
    <w:abstractNumId w:val="0"/>
  </w:num>
  <w:num w:numId="21" w16cid:durableId="771701666">
    <w:abstractNumId w:val="13"/>
  </w:num>
  <w:num w:numId="22" w16cid:durableId="2129161816">
    <w:abstractNumId w:val="8"/>
  </w:num>
  <w:num w:numId="23" w16cid:durableId="504830106">
    <w:abstractNumId w:val="7"/>
  </w:num>
  <w:num w:numId="24" w16cid:durableId="166889918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2320186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DEF"/>
    <w:rsid w:val="000002AD"/>
    <w:rsid w:val="000014B3"/>
    <w:rsid w:val="00041C3C"/>
    <w:rsid w:val="00062DEF"/>
    <w:rsid w:val="000A3E8E"/>
    <w:rsid w:val="000B2D7F"/>
    <w:rsid w:val="000E1FE9"/>
    <w:rsid w:val="000F332F"/>
    <w:rsid w:val="000F5DBA"/>
    <w:rsid w:val="000F7CE7"/>
    <w:rsid w:val="001018D2"/>
    <w:rsid w:val="00117B04"/>
    <w:rsid w:val="00130FC0"/>
    <w:rsid w:val="00132540"/>
    <w:rsid w:val="00141446"/>
    <w:rsid w:val="001430CE"/>
    <w:rsid w:val="001667AA"/>
    <w:rsid w:val="001678E6"/>
    <w:rsid w:val="00174597"/>
    <w:rsid w:val="00181271"/>
    <w:rsid w:val="001A056A"/>
    <w:rsid w:val="001B6BAD"/>
    <w:rsid w:val="001C60AE"/>
    <w:rsid w:val="001D384F"/>
    <w:rsid w:val="001D54C9"/>
    <w:rsid w:val="001D623B"/>
    <w:rsid w:val="001E2AEB"/>
    <w:rsid w:val="001F2348"/>
    <w:rsid w:val="00207211"/>
    <w:rsid w:val="00216305"/>
    <w:rsid w:val="00250FEB"/>
    <w:rsid w:val="002530E9"/>
    <w:rsid w:val="00260DA7"/>
    <w:rsid w:val="00261599"/>
    <w:rsid w:val="00290BC8"/>
    <w:rsid w:val="002B1611"/>
    <w:rsid w:val="002B2F06"/>
    <w:rsid w:val="002C11A7"/>
    <w:rsid w:val="002D4504"/>
    <w:rsid w:val="002E0191"/>
    <w:rsid w:val="00301EF2"/>
    <w:rsid w:val="003148F7"/>
    <w:rsid w:val="00326141"/>
    <w:rsid w:val="00333F22"/>
    <w:rsid w:val="003369FB"/>
    <w:rsid w:val="00340AEE"/>
    <w:rsid w:val="003465DE"/>
    <w:rsid w:val="00356636"/>
    <w:rsid w:val="00383077"/>
    <w:rsid w:val="0038699B"/>
    <w:rsid w:val="00386F61"/>
    <w:rsid w:val="0039725A"/>
    <w:rsid w:val="00397834"/>
    <w:rsid w:val="003A1E47"/>
    <w:rsid w:val="003B77DC"/>
    <w:rsid w:val="003D7A4C"/>
    <w:rsid w:val="003F0F5C"/>
    <w:rsid w:val="00401D30"/>
    <w:rsid w:val="004066FA"/>
    <w:rsid w:val="00412261"/>
    <w:rsid w:val="00412C44"/>
    <w:rsid w:val="00417782"/>
    <w:rsid w:val="0043151F"/>
    <w:rsid w:val="0044059D"/>
    <w:rsid w:val="004455CC"/>
    <w:rsid w:val="00452F25"/>
    <w:rsid w:val="0046230F"/>
    <w:rsid w:val="004665DF"/>
    <w:rsid w:val="004810FD"/>
    <w:rsid w:val="004824EF"/>
    <w:rsid w:val="004959D0"/>
    <w:rsid w:val="004B47AC"/>
    <w:rsid w:val="004E29DD"/>
    <w:rsid w:val="004E4D13"/>
    <w:rsid w:val="004F1A24"/>
    <w:rsid w:val="004F2533"/>
    <w:rsid w:val="004F4BD0"/>
    <w:rsid w:val="0050065C"/>
    <w:rsid w:val="005030A4"/>
    <w:rsid w:val="00513CCC"/>
    <w:rsid w:val="005209A1"/>
    <w:rsid w:val="0052437F"/>
    <w:rsid w:val="00525103"/>
    <w:rsid w:val="00535D92"/>
    <w:rsid w:val="00537FAD"/>
    <w:rsid w:val="00541FC4"/>
    <w:rsid w:val="00551DC1"/>
    <w:rsid w:val="00552641"/>
    <w:rsid w:val="00553868"/>
    <w:rsid w:val="0056617C"/>
    <w:rsid w:val="0059357D"/>
    <w:rsid w:val="005949F0"/>
    <w:rsid w:val="005A074C"/>
    <w:rsid w:val="005A655C"/>
    <w:rsid w:val="005E35BD"/>
    <w:rsid w:val="00606442"/>
    <w:rsid w:val="0065004B"/>
    <w:rsid w:val="00653283"/>
    <w:rsid w:val="0065405E"/>
    <w:rsid w:val="00674A11"/>
    <w:rsid w:val="00692393"/>
    <w:rsid w:val="006A06ED"/>
    <w:rsid w:val="006A790A"/>
    <w:rsid w:val="006B0695"/>
    <w:rsid w:val="006C0F32"/>
    <w:rsid w:val="006C7F51"/>
    <w:rsid w:val="006D7CB4"/>
    <w:rsid w:val="007113C1"/>
    <w:rsid w:val="00716D7B"/>
    <w:rsid w:val="00725AE4"/>
    <w:rsid w:val="00727FB9"/>
    <w:rsid w:val="00733954"/>
    <w:rsid w:val="00745F85"/>
    <w:rsid w:val="0075469A"/>
    <w:rsid w:val="007548A3"/>
    <w:rsid w:val="007635C5"/>
    <w:rsid w:val="00766165"/>
    <w:rsid w:val="007778BE"/>
    <w:rsid w:val="00781C9C"/>
    <w:rsid w:val="00796716"/>
    <w:rsid w:val="007B57A7"/>
    <w:rsid w:val="007B7A2D"/>
    <w:rsid w:val="007E6333"/>
    <w:rsid w:val="0080600E"/>
    <w:rsid w:val="00806B01"/>
    <w:rsid w:val="00817074"/>
    <w:rsid w:val="00826747"/>
    <w:rsid w:val="00830AC4"/>
    <w:rsid w:val="00844032"/>
    <w:rsid w:val="008455C5"/>
    <w:rsid w:val="00861FC9"/>
    <w:rsid w:val="00864AB7"/>
    <w:rsid w:val="00873A38"/>
    <w:rsid w:val="00881A0D"/>
    <w:rsid w:val="008A3462"/>
    <w:rsid w:val="008B0D14"/>
    <w:rsid w:val="008B17F9"/>
    <w:rsid w:val="008F2423"/>
    <w:rsid w:val="009010DE"/>
    <w:rsid w:val="0092412C"/>
    <w:rsid w:val="009244DF"/>
    <w:rsid w:val="00924527"/>
    <w:rsid w:val="009252CA"/>
    <w:rsid w:val="009260B1"/>
    <w:rsid w:val="00953F02"/>
    <w:rsid w:val="00965912"/>
    <w:rsid w:val="00986CCC"/>
    <w:rsid w:val="00996A40"/>
    <w:rsid w:val="009A44DE"/>
    <w:rsid w:val="009C24D2"/>
    <w:rsid w:val="009C2A40"/>
    <w:rsid w:val="009D1A7A"/>
    <w:rsid w:val="009D349C"/>
    <w:rsid w:val="009F70E6"/>
    <w:rsid w:val="00A013D9"/>
    <w:rsid w:val="00A044E1"/>
    <w:rsid w:val="00A1595A"/>
    <w:rsid w:val="00A21A02"/>
    <w:rsid w:val="00A4172D"/>
    <w:rsid w:val="00A43A60"/>
    <w:rsid w:val="00A5251D"/>
    <w:rsid w:val="00A63AB6"/>
    <w:rsid w:val="00A643CE"/>
    <w:rsid w:val="00A778C8"/>
    <w:rsid w:val="00AA064D"/>
    <w:rsid w:val="00AB3D17"/>
    <w:rsid w:val="00AB7CAF"/>
    <w:rsid w:val="00B005B7"/>
    <w:rsid w:val="00B16C52"/>
    <w:rsid w:val="00B3371D"/>
    <w:rsid w:val="00B6318B"/>
    <w:rsid w:val="00B66E23"/>
    <w:rsid w:val="00B67124"/>
    <w:rsid w:val="00B73EF6"/>
    <w:rsid w:val="00B74018"/>
    <w:rsid w:val="00B77161"/>
    <w:rsid w:val="00B9453A"/>
    <w:rsid w:val="00BC1CF0"/>
    <w:rsid w:val="00BF0D4D"/>
    <w:rsid w:val="00BF1805"/>
    <w:rsid w:val="00BF526D"/>
    <w:rsid w:val="00C07039"/>
    <w:rsid w:val="00C21CE7"/>
    <w:rsid w:val="00C323BA"/>
    <w:rsid w:val="00C36356"/>
    <w:rsid w:val="00C4393A"/>
    <w:rsid w:val="00C446A9"/>
    <w:rsid w:val="00C55CDF"/>
    <w:rsid w:val="00C65787"/>
    <w:rsid w:val="00C72E84"/>
    <w:rsid w:val="00C83ABF"/>
    <w:rsid w:val="00C96857"/>
    <w:rsid w:val="00CA2DA7"/>
    <w:rsid w:val="00CB748B"/>
    <w:rsid w:val="00CB7DCD"/>
    <w:rsid w:val="00CE15FF"/>
    <w:rsid w:val="00CE5EB5"/>
    <w:rsid w:val="00CF1104"/>
    <w:rsid w:val="00D005C2"/>
    <w:rsid w:val="00D0416E"/>
    <w:rsid w:val="00D0499D"/>
    <w:rsid w:val="00D06913"/>
    <w:rsid w:val="00D34DA9"/>
    <w:rsid w:val="00D3740F"/>
    <w:rsid w:val="00D4016B"/>
    <w:rsid w:val="00D46950"/>
    <w:rsid w:val="00D47266"/>
    <w:rsid w:val="00D56221"/>
    <w:rsid w:val="00D575A8"/>
    <w:rsid w:val="00D67FD0"/>
    <w:rsid w:val="00D768C7"/>
    <w:rsid w:val="00D87F42"/>
    <w:rsid w:val="00D92027"/>
    <w:rsid w:val="00D97ACA"/>
    <w:rsid w:val="00DA4DD6"/>
    <w:rsid w:val="00DD2456"/>
    <w:rsid w:val="00DD5BCE"/>
    <w:rsid w:val="00DE1709"/>
    <w:rsid w:val="00DF77AE"/>
    <w:rsid w:val="00E002BA"/>
    <w:rsid w:val="00E26B9A"/>
    <w:rsid w:val="00E31A6A"/>
    <w:rsid w:val="00E44C2F"/>
    <w:rsid w:val="00E561ED"/>
    <w:rsid w:val="00E8233D"/>
    <w:rsid w:val="00E82D53"/>
    <w:rsid w:val="00EA1AF3"/>
    <w:rsid w:val="00EB148C"/>
    <w:rsid w:val="00EB3841"/>
    <w:rsid w:val="00EB6F2A"/>
    <w:rsid w:val="00EC08F6"/>
    <w:rsid w:val="00EE1FBC"/>
    <w:rsid w:val="00F11067"/>
    <w:rsid w:val="00F22DDD"/>
    <w:rsid w:val="00F3089D"/>
    <w:rsid w:val="00F540E1"/>
    <w:rsid w:val="00F55DBC"/>
    <w:rsid w:val="00F70248"/>
    <w:rsid w:val="00F868A0"/>
    <w:rsid w:val="00F93A78"/>
    <w:rsid w:val="00FB6FCA"/>
    <w:rsid w:val="00FC5049"/>
    <w:rsid w:val="00FD393B"/>
    <w:rsid w:val="00FD5332"/>
    <w:rsid w:val="00FF5098"/>
    <w:rsid w:val="00FF64F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E80646D"/>
  <w15:chartTrackingRefBased/>
  <w15:docId w15:val="{A6B46D15-B377-4CE8-83CB-0B14A55E3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039"/>
    <w:pPr>
      <w:spacing w:line="260" w:lineRule="atLeast"/>
      <w:jc w:val="both"/>
    </w:pPr>
    <w:rPr>
      <w:rFonts w:ascii="Palatino Linotype" w:hAnsi="Palatino Linotype"/>
      <w:noProof/>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C07039"/>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C07039"/>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C07039"/>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C07039"/>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C07039"/>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C07039"/>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C07039"/>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C07039"/>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2B1611"/>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C07039"/>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C07039"/>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C07039"/>
    <w:rPr>
      <w:rFonts w:ascii="Palatino Linotype" w:hAnsi="Palatino Linotype"/>
      <w:noProof/>
      <w:color w:val="000000"/>
      <w:szCs w:val="18"/>
    </w:rPr>
  </w:style>
  <w:style w:type="paragraph" w:styleId="Header">
    <w:name w:val="header"/>
    <w:basedOn w:val="Normal"/>
    <w:link w:val="HeaderChar"/>
    <w:uiPriority w:val="99"/>
    <w:rsid w:val="00C07039"/>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C07039"/>
    <w:rPr>
      <w:rFonts w:ascii="Palatino Linotype" w:hAnsi="Palatino Linotype"/>
      <w:noProof/>
      <w:color w:val="000000"/>
      <w:szCs w:val="18"/>
    </w:rPr>
  </w:style>
  <w:style w:type="paragraph" w:customStyle="1" w:styleId="MDPIheaderjournallogo">
    <w:name w:val="MDPI_header_journal_logo"/>
    <w:qFormat/>
    <w:rsid w:val="00C07039"/>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C07039"/>
    <w:pPr>
      <w:ind w:firstLine="0"/>
    </w:pPr>
  </w:style>
  <w:style w:type="paragraph" w:customStyle="1" w:styleId="MDPI31text">
    <w:name w:val="MDPI_3.1_text"/>
    <w:qFormat/>
    <w:rsid w:val="003369FB"/>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C07039"/>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C07039"/>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C07039"/>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B67124"/>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B67124"/>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C07039"/>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C07039"/>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C07039"/>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56617C"/>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C07039"/>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C07039"/>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C07039"/>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23heading3">
    <w:name w:val="MDPI_2.3_heading3"/>
    <w:qFormat/>
    <w:rsid w:val="00C07039"/>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C07039"/>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C07039"/>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F70248"/>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C07039"/>
    <w:rPr>
      <w:rFonts w:cs="Tahoma"/>
      <w:szCs w:val="18"/>
    </w:rPr>
  </w:style>
  <w:style w:type="character" w:customStyle="1" w:styleId="BalloonTextChar">
    <w:name w:val="Balloon Text Char"/>
    <w:link w:val="BalloonText"/>
    <w:uiPriority w:val="99"/>
    <w:rsid w:val="00C07039"/>
    <w:rPr>
      <w:rFonts w:ascii="Palatino Linotype" w:hAnsi="Palatino Linotype" w:cs="Tahoma"/>
      <w:noProof/>
      <w:color w:val="000000"/>
      <w:szCs w:val="18"/>
    </w:rPr>
  </w:style>
  <w:style w:type="character" w:styleId="LineNumber">
    <w:name w:val="line number"/>
    <w:uiPriority w:val="99"/>
    <w:rsid w:val="0092412C"/>
    <w:rPr>
      <w:rFonts w:ascii="Palatino Linotype" w:hAnsi="Palatino Linotype"/>
      <w:sz w:val="16"/>
    </w:rPr>
  </w:style>
  <w:style w:type="table" w:customStyle="1" w:styleId="MDPI41threelinetable">
    <w:name w:val="MDPI_4.1_three_line_table"/>
    <w:basedOn w:val="TableNormal"/>
    <w:uiPriority w:val="99"/>
    <w:rsid w:val="00C07039"/>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C07039"/>
    <w:rPr>
      <w:color w:val="0000FF"/>
      <w:u w:val="single"/>
    </w:rPr>
  </w:style>
  <w:style w:type="character" w:styleId="UnresolvedMention">
    <w:name w:val="Unresolved Mention"/>
    <w:uiPriority w:val="99"/>
    <w:semiHidden/>
    <w:unhideWhenUsed/>
    <w:rsid w:val="00953F02"/>
    <w:rPr>
      <w:color w:val="605E5C"/>
      <w:shd w:val="clear" w:color="auto" w:fill="E1DFDD"/>
    </w:rPr>
  </w:style>
  <w:style w:type="table" w:styleId="PlainTable4">
    <w:name w:val="Plain Table 4"/>
    <w:basedOn w:val="TableNormal"/>
    <w:uiPriority w:val="44"/>
    <w:rsid w:val="00716D7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C07039"/>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81theorem">
    <w:name w:val="MDPI_8.1_theorem"/>
    <w:qFormat/>
    <w:rsid w:val="00C07039"/>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C07039"/>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C07039"/>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C07039"/>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C07039"/>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117B04"/>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C07039"/>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C07039"/>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C07039"/>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745F85"/>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C07039"/>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C07039"/>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C07039"/>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C07039"/>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C07039"/>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C07039"/>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C07039"/>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C07039"/>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C07039"/>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C07039"/>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C07039"/>
  </w:style>
  <w:style w:type="paragraph" w:styleId="Bibliography">
    <w:name w:val="Bibliography"/>
    <w:basedOn w:val="Normal"/>
    <w:next w:val="Normal"/>
    <w:uiPriority w:val="37"/>
    <w:semiHidden/>
    <w:unhideWhenUsed/>
    <w:rsid w:val="00C07039"/>
  </w:style>
  <w:style w:type="paragraph" w:styleId="BodyText">
    <w:name w:val="Body Text"/>
    <w:link w:val="BodyTextChar"/>
    <w:rsid w:val="00C07039"/>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C07039"/>
    <w:rPr>
      <w:rFonts w:ascii="Palatino Linotype" w:hAnsi="Palatino Linotype"/>
      <w:color w:val="000000"/>
      <w:sz w:val="24"/>
      <w:lang w:eastAsia="de-DE"/>
    </w:rPr>
  </w:style>
  <w:style w:type="character" w:styleId="CommentReference">
    <w:name w:val="annotation reference"/>
    <w:rsid w:val="00C07039"/>
    <w:rPr>
      <w:sz w:val="21"/>
      <w:szCs w:val="21"/>
    </w:rPr>
  </w:style>
  <w:style w:type="paragraph" w:styleId="CommentText">
    <w:name w:val="annotation text"/>
    <w:basedOn w:val="Normal"/>
    <w:link w:val="CommentTextChar"/>
    <w:rsid w:val="00C07039"/>
  </w:style>
  <w:style w:type="character" w:customStyle="1" w:styleId="CommentTextChar">
    <w:name w:val="Comment Text Char"/>
    <w:link w:val="CommentText"/>
    <w:rsid w:val="00C07039"/>
    <w:rPr>
      <w:rFonts w:ascii="Palatino Linotype" w:hAnsi="Palatino Linotype"/>
      <w:noProof/>
      <w:color w:val="000000"/>
    </w:rPr>
  </w:style>
  <w:style w:type="paragraph" w:styleId="CommentSubject">
    <w:name w:val="annotation subject"/>
    <w:basedOn w:val="CommentText"/>
    <w:next w:val="CommentText"/>
    <w:link w:val="CommentSubjectChar"/>
    <w:rsid w:val="00C07039"/>
    <w:rPr>
      <w:b/>
      <w:bCs/>
    </w:rPr>
  </w:style>
  <w:style w:type="character" w:customStyle="1" w:styleId="CommentSubjectChar">
    <w:name w:val="Comment Subject Char"/>
    <w:link w:val="CommentSubject"/>
    <w:rsid w:val="00C07039"/>
    <w:rPr>
      <w:rFonts w:ascii="Palatino Linotype" w:hAnsi="Palatino Linotype"/>
      <w:b/>
      <w:bCs/>
      <w:noProof/>
      <w:color w:val="000000"/>
    </w:rPr>
  </w:style>
  <w:style w:type="character" w:styleId="EndnoteReference">
    <w:name w:val="endnote reference"/>
    <w:rsid w:val="00C07039"/>
    <w:rPr>
      <w:vertAlign w:val="superscript"/>
    </w:rPr>
  </w:style>
  <w:style w:type="paragraph" w:styleId="EndnoteText">
    <w:name w:val="endnote text"/>
    <w:basedOn w:val="Normal"/>
    <w:link w:val="EndnoteTextChar"/>
    <w:semiHidden/>
    <w:unhideWhenUsed/>
    <w:rsid w:val="00C07039"/>
    <w:pPr>
      <w:spacing w:line="240" w:lineRule="auto"/>
    </w:pPr>
  </w:style>
  <w:style w:type="character" w:customStyle="1" w:styleId="EndnoteTextChar">
    <w:name w:val="Endnote Text Char"/>
    <w:link w:val="EndnoteText"/>
    <w:semiHidden/>
    <w:rsid w:val="00C07039"/>
    <w:rPr>
      <w:rFonts w:ascii="Palatino Linotype" w:hAnsi="Palatino Linotype"/>
      <w:noProof/>
      <w:color w:val="000000"/>
    </w:rPr>
  </w:style>
  <w:style w:type="character" w:styleId="FollowedHyperlink">
    <w:name w:val="FollowedHyperlink"/>
    <w:rsid w:val="00C07039"/>
    <w:rPr>
      <w:color w:val="954F72"/>
      <w:u w:val="single"/>
    </w:rPr>
  </w:style>
  <w:style w:type="paragraph" w:styleId="FootnoteText">
    <w:name w:val="footnote text"/>
    <w:basedOn w:val="Normal"/>
    <w:link w:val="FootnoteTextChar"/>
    <w:semiHidden/>
    <w:unhideWhenUsed/>
    <w:rsid w:val="00C07039"/>
    <w:pPr>
      <w:spacing w:line="240" w:lineRule="auto"/>
    </w:pPr>
  </w:style>
  <w:style w:type="character" w:customStyle="1" w:styleId="FootnoteTextChar">
    <w:name w:val="Footnote Text Char"/>
    <w:link w:val="FootnoteText"/>
    <w:semiHidden/>
    <w:rsid w:val="00C07039"/>
    <w:rPr>
      <w:rFonts w:ascii="Palatino Linotype" w:hAnsi="Palatino Linotype"/>
      <w:noProof/>
      <w:color w:val="000000"/>
    </w:rPr>
  </w:style>
  <w:style w:type="paragraph" w:styleId="NormalWeb">
    <w:name w:val="Normal (Web)"/>
    <w:basedOn w:val="Normal"/>
    <w:uiPriority w:val="99"/>
    <w:rsid w:val="00C07039"/>
    <w:rPr>
      <w:szCs w:val="24"/>
    </w:rPr>
  </w:style>
  <w:style w:type="paragraph" w:customStyle="1" w:styleId="MsoFootnoteText0">
    <w:name w:val="MsoFootnoteText"/>
    <w:basedOn w:val="NormalWeb"/>
    <w:qFormat/>
    <w:rsid w:val="00C07039"/>
    <w:rPr>
      <w:rFonts w:ascii="Times New Roman" w:hAnsi="Times New Roman"/>
    </w:rPr>
  </w:style>
  <w:style w:type="character" w:styleId="PageNumber">
    <w:name w:val="page number"/>
    <w:rsid w:val="00C07039"/>
  </w:style>
  <w:style w:type="character" w:styleId="PlaceholderText">
    <w:name w:val="Placeholder Text"/>
    <w:uiPriority w:val="99"/>
    <w:semiHidden/>
    <w:rsid w:val="00C07039"/>
    <w:rPr>
      <w:color w:val="808080"/>
    </w:rPr>
  </w:style>
  <w:style w:type="paragraph" w:customStyle="1" w:styleId="MDPI71FootNotes">
    <w:name w:val="MDPI_7.1_FootNotes"/>
    <w:qFormat/>
    <w:rsid w:val="005E35BD"/>
    <w:pPr>
      <w:numPr>
        <w:numId w:val="21"/>
      </w:numPr>
      <w:adjustRightInd w:val="0"/>
      <w:snapToGrid w:val="0"/>
      <w:spacing w:line="228" w:lineRule="auto"/>
    </w:pPr>
    <w:rPr>
      <w:rFonts w:ascii="Palatino Linotype" w:eastAsiaTheme="minorEastAsia" w:hAnsi="Palatino Linotype"/>
      <w:noProof/>
      <w:color w:val="000000"/>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lnhmh@umsystem.edu" TargetMode="External"/><Relationship Id="rId13" Type="http://schemas.openxmlformats.org/officeDocument/2006/relationships/hyperlink" Target="mailto:spenserwaller@gmail.com" TargetMode="External"/><Relationship Id="rId18" Type="http://schemas.openxmlformats.org/officeDocument/2006/relationships/image" Target="media/image2.tif"/><Relationship Id="rId26"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5.tif"/><Relationship Id="rId7" Type="http://schemas.openxmlformats.org/officeDocument/2006/relationships/hyperlink" Target="mailto:alibauer1109@gmail.com" TargetMode="External"/><Relationship Id="rId12" Type="http://schemas.openxmlformats.org/officeDocument/2006/relationships/hyperlink" Target="mailto:gmp722@health.missouri.edu" TargetMode="External"/><Relationship Id="rId17" Type="http://schemas.openxmlformats.org/officeDocument/2006/relationships/image" Target="media/image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mailto:ferrierir@missouri.edu" TargetMode="External"/><Relationship Id="rId20" Type="http://schemas.openxmlformats.org/officeDocument/2006/relationships/image" Target="media/image4.ti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vbf4w@mail.missouri.edu" TargetMode="External"/><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yperlink" Target="mailto:ferrierir@missouri.edu" TargetMode="External"/><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hyperlink" Target="mailto:s9207945@atsu.edu" TargetMode="External"/><Relationship Id="rId19" Type="http://schemas.openxmlformats.org/officeDocument/2006/relationships/image" Target="media/image3.tif"/><Relationship Id="rId4" Type="http://schemas.openxmlformats.org/officeDocument/2006/relationships/webSettings" Target="webSettings.xml"/><Relationship Id="rId9" Type="http://schemas.openxmlformats.org/officeDocument/2006/relationships/hyperlink" Target="mailto:wildersl@missouri.edu" TargetMode="External"/><Relationship Id="rId14" Type="http://schemas.openxmlformats.org/officeDocument/2006/relationships/hyperlink" Target="mailto:schuellerm@missouri.edu" TargetMode="External"/><Relationship Id="rId22" Type="http://schemas.openxmlformats.org/officeDocument/2006/relationships/image" Target="media/image6.tif"/><Relationship Id="rId27" Type="http://schemas.openxmlformats.org/officeDocument/2006/relationships/footer" Target="footer2.xml"/></Relationships>
</file>

<file path=word/_rels/header3.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rrieriR\Desktop\microorganism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microorganisms-template</Template>
  <TotalTime>68</TotalTime>
  <Pages>5</Pages>
  <Words>1351</Words>
  <Characters>7701</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9034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Rich Ferrieri</dc:creator>
  <cp:keywords/>
  <dc:description/>
  <cp:lastModifiedBy>Ferrieri, Richard</cp:lastModifiedBy>
  <cp:revision>6</cp:revision>
  <dcterms:created xsi:type="dcterms:W3CDTF">2023-05-31T19:12:00Z</dcterms:created>
  <dcterms:modified xsi:type="dcterms:W3CDTF">2023-06-02T18:37:00Z</dcterms:modified>
</cp:coreProperties>
</file>